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8A" w:rsidRPr="006754F5" w:rsidRDefault="004A438A" w:rsidP="004A438A">
      <w:pPr>
        <w:jc w:val="both"/>
        <w:rPr>
          <w:color w:val="000000"/>
          <w:lang w:val="sr-Cyrl-CS"/>
        </w:rPr>
      </w:pPr>
      <w:bookmarkStart w:id="0" w:name="_GoBack"/>
      <w:bookmarkEnd w:id="0"/>
      <w:r w:rsidRPr="006754F5">
        <w:rPr>
          <w:color w:val="000000"/>
          <w:lang w:val="sr-Cyrl-CS"/>
        </w:rPr>
        <w:t xml:space="preserve">На основу решења стечајног судије Привредног суда у Нишу од </w:t>
      </w:r>
      <w:r w:rsidRPr="0092373E">
        <w:rPr>
          <w:lang w:val="sr-Cyrl-CS"/>
        </w:rPr>
        <w:t>11. марта 2014. године</w:t>
      </w:r>
      <w:r w:rsidRPr="006754F5">
        <w:rPr>
          <w:color w:val="000000"/>
          <w:lang w:val="sr-Cyrl-CS"/>
        </w:rPr>
        <w:t>. године, број предмета</w:t>
      </w:r>
      <w:r>
        <w:rPr>
          <w:color w:val="000000"/>
          <w:lang w:val="sr-Cyrl-CS"/>
        </w:rPr>
        <w:t xml:space="preserve"> 2.Ст.</w:t>
      </w:r>
      <w:r>
        <w:rPr>
          <w:color w:val="000000"/>
        </w:rPr>
        <w:t>15</w:t>
      </w:r>
      <w:r>
        <w:rPr>
          <w:color w:val="000000"/>
          <w:lang w:val="sr-Cyrl-CS"/>
        </w:rPr>
        <w:t>/201</w:t>
      </w:r>
      <w:r>
        <w:rPr>
          <w:color w:val="000000"/>
        </w:rPr>
        <w:t>3</w:t>
      </w:r>
      <w:r w:rsidRPr="006754F5">
        <w:rPr>
          <w:color w:val="000000"/>
          <w:lang w:val="sr-Cyrl-CS"/>
        </w:rPr>
        <w:t xml:space="preserve"> од </w:t>
      </w:r>
      <w:r>
        <w:rPr>
          <w:color w:val="000000"/>
        </w:rPr>
        <w:t>6</w:t>
      </w:r>
      <w:r w:rsidRPr="006754F5">
        <w:rPr>
          <w:color w:val="000000"/>
          <w:lang w:val="ru-RU"/>
        </w:rPr>
        <w:t xml:space="preserve">. </w:t>
      </w:r>
      <w:r>
        <w:rPr>
          <w:color w:val="000000"/>
          <w:lang w:val="sr-Cyrl-RS"/>
        </w:rPr>
        <w:t>август</w:t>
      </w:r>
      <w:r>
        <w:rPr>
          <w:color w:val="000000"/>
          <w:lang w:val="ru-RU"/>
        </w:rPr>
        <w:t>а 2013</w:t>
      </w:r>
      <w:r w:rsidRPr="006754F5">
        <w:rPr>
          <w:color w:val="000000"/>
          <w:lang w:val="ru-RU"/>
        </w:rPr>
        <w:t>. године</w:t>
      </w:r>
      <w:r w:rsidRPr="006754F5">
        <w:rPr>
          <w:color w:val="000000"/>
          <w:lang w:val="sr-Cyrl-CS"/>
        </w:rPr>
        <w:t>, а у складу с одредбама чланова 132. и 133. Закона о стечају (</w:t>
      </w:r>
      <w:r w:rsidRPr="006754F5">
        <w:rPr>
          <w:i/>
          <w:iCs/>
          <w:color w:val="000000"/>
          <w:lang w:val="sr-Cyrl-CS"/>
        </w:rPr>
        <w:t>Службени гласник  Републике Србије бр. 104/09</w:t>
      </w:r>
      <w:r w:rsidRPr="006754F5">
        <w:rPr>
          <w:color w:val="000000"/>
          <w:lang w:val="sr-Cyrl-CS"/>
        </w:rPr>
        <w:t xml:space="preserve">) и </w:t>
      </w:r>
      <w:r>
        <w:rPr>
          <w:color w:val="000000"/>
          <w:lang w:val="sr-Cyrl-CS"/>
        </w:rPr>
        <w:t xml:space="preserve">одредбама </w:t>
      </w:r>
      <w:r w:rsidRPr="006754F5">
        <w:rPr>
          <w:color w:val="000000"/>
          <w:lang w:val="sr-Cyrl-CS"/>
        </w:rPr>
        <w:t>Националн</w:t>
      </w:r>
      <w:r>
        <w:rPr>
          <w:color w:val="000000"/>
          <w:lang w:val="sr-Cyrl-CS"/>
        </w:rPr>
        <w:t>ог стандарда</w:t>
      </w:r>
      <w:r w:rsidRPr="006754F5">
        <w:rPr>
          <w:color w:val="000000"/>
          <w:lang w:val="sr-Cyrl-CS"/>
        </w:rPr>
        <w:t xml:space="preserve"> бр. 5 о начину и поступку уновчења имовине (</w:t>
      </w:r>
      <w:r w:rsidRPr="006754F5">
        <w:rPr>
          <w:i/>
          <w:iCs/>
          <w:color w:val="000000"/>
          <w:lang w:val="sr-Cyrl-CS"/>
        </w:rPr>
        <w:t>Службени гласник Републике Србије бр. 13/2010</w:t>
      </w:r>
      <w:r w:rsidRPr="006754F5">
        <w:rPr>
          <w:color w:val="000000"/>
          <w:lang w:val="sr-Cyrl-CS"/>
        </w:rPr>
        <w:t>), стечајни управник стечајног дужника</w:t>
      </w:r>
    </w:p>
    <w:p w:rsidR="004A438A" w:rsidRDefault="004A438A" w:rsidP="004A438A">
      <w:pPr>
        <w:jc w:val="both"/>
        <w:rPr>
          <w:color w:val="000000"/>
          <w:lang w:val="sr-Cyrl-CS"/>
        </w:rPr>
      </w:pPr>
    </w:p>
    <w:p w:rsidR="004A438A" w:rsidRPr="006754F5" w:rsidRDefault="004A438A" w:rsidP="004A438A">
      <w:pPr>
        <w:jc w:val="both"/>
        <w:rPr>
          <w:color w:val="000000"/>
          <w:lang w:val="sr-Cyrl-CS"/>
        </w:rPr>
      </w:pPr>
    </w:p>
    <w:p w:rsidR="004A438A" w:rsidRDefault="004A438A" w:rsidP="004A438A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Пивара „Ниш</w:t>
      </w:r>
      <w:r w:rsidRPr="006754F5">
        <w:rPr>
          <w:b/>
          <w:color w:val="000000"/>
          <w:lang w:val="sr-Cyrl-CS"/>
        </w:rPr>
        <w:t>“</w:t>
      </w:r>
      <w:r>
        <w:rPr>
          <w:b/>
          <w:color w:val="000000"/>
          <w:lang w:val="sr-Cyrl-CS"/>
        </w:rPr>
        <w:t xml:space="preserve"> Акционарско друштво за производњу пива и безалкохолних напитака –</w:t>
      </w:r>
      <w:r w:rsidRPr="006754F5">
        <w:rPr>
          <w:b/>
          <w:color w:val="000000"/>
          <w:lang w:val="sr-Cyrl-CS"/>
        </w:rPr>
        <w:t xml:space="preserve"> у стечају из </w:t>
      </w:r>
      <w:r>
        <w:rPr>
          <w:b/>
          <w:color w:val="000000"/>
          <w:lang w:val="sr-Cyrl-CS"/>
        </w:rPr>
        <w:t>Ниш</w:t>
      </w:r>
      <w:r w:rsidRPr="006754F5">
        <w:rPr>
          <w:b/>
          <w:color w:val="000000"/>
          <w:lang w:val="sr-Cyrl-CS"/>
        </w:rPr>
        <w:t>а</w:t>
      </w:r>
    </w:p>
    <w:p w:rsidR="004A438A" w:rsidRPr="006754F5" w:rsidRDefault="004A438A" w:rsidP="004A438A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(матични број 07186037, ПИБ 100618318)</w:t>
      </w:r>
    </w:p>
    <w:p w:rsidR="004A438A" w:rsidRPr="006754F5" w:rsidRDefault="004A438A" w:rsidP="004A438A">
      <w:pPr>
        <w:jc w:val="center"/>
        <w:rPr>
          <w:color w:val="000000"/>
          <w:lang w:val="sr-Cyrl-CS"/>
        </w:rPr>
      </w:pPr>
    </w:p>
    <w:p w:rsidR="004A438A" w:rsidRPr="006754F5" w:rsidRDefault="004A438A" w:rsidP="004A438A">
      <w:pPr>
        <w:jc w:val="center"/>
        <w:rPr>
          <w:b/>
          <w:bCs/>
          <w:color w:val="000000"/>
          <w:lang w:val="sr-Cyrl-CS"/>
        </w:rPr>
      </w:pPr>
      <w:r w:rsidRPr="006754F5">
        <w:rPr>
          <w:b/>
          <w:bCs/>
          <w:color w:val="000000"/>
          <w:lang w:val="sr-Cyrl-CS"/>
        </w:rPr>
        <w:t>ОГЛАШАВА</w:t>
      </w:r>
    </w:p>
    <w:p w:rsidR="004A438A" w:rsidRPr="006754F5" w:rsidRDefault="004A438A" w:rsidP="004A438A">
      <w:pPr>
        <w:jc w:val="center"/>
        <w:rPr>
          <w:b/>
          <w:bCs/>
          <w:color w:val="000000"/>
          <w:lang w:val="sr-Cyrl-CS"/>
        </w:rPr>
      </w:pPr>
      <w:r w:rsidRPr="006754F5">
        <w:rPr>
          <w:b/>
          <w:bCs/>
          <w:color w:val="000000"/>
          <w:lang w:val="sr-Cyrl-CS"/>
        </w:rPr>
        <w:t>Продају</w:t>
      </w:r>
      <w:r>
        <w:rPr>
          <w:b/>
          <w:bCs/>
          <w:color w:val="000000"/>
          <w:lang w:val="sr-Cyrl-CS"/>
        </w:rPr>
        <w:t xml:space="preserve"> производно-пословне целине „Нишка пивара“ </w:t>
      </w:r>
      <w:r w:rsidRPr="006754F5">
        <w:rPr>
          <w:b/>
          <w:bCs/>
          <w:color w:val="000000"/>
          <w:lang w:val="sr-Cyrl-CS"/>
        </w:rPr>
        <w:t xml:space="preserve">јавним </w:t>
      </w:r>
      <w:r>
        <w:rPr>
          <w:b/>
          <w:bCs/>
          <w:color w:val="000000"/>
          <w:lang w:val="sr-Cyrl-CS"/>
        </w:rPr>
        <w:t>надметањем</w:t>
      </w:r>
    </w:p>
    <w:p w:rsidR="004A438A" w:rsidRDefault="004A438A" w:rsidP="004A438A">
      <w:pPr>
        <w:jc w:val="center"/>
        <w:rPr>
          <w:b/>
          <w:bCs/>
          <w:color w:val="000000"/>
          <w:lang w:val="sr-Cyrl-CS"/>
        </w:rPr>
      </w:pPr>
    </w:p>
    <w:p w:rsidR="004A438A" w:rsidRPr="006754F5" w:rsidRDefault="004A438A" w:rsidP="004A438A">
      <w:pPr>
        <w:jc w:val="center"/>
        <w:rPr>
          <w:b/>
          <w:bCs/>
          <w:color w:val="000000"/>
          <w:lang w:val="sr-Cyrl-CS"/>
        </w:rPr>
      </w:pPr>
    </w:p>
    <w:p w:rsidR="004A438A" w:rsidRDefault="004A438A" w:rsidP="004A438A">
      <w:pPr>
        <w:ind w:firstLine="720"/>
        <w:jc w:val="both"/>
        <w:rPr>
          <w:color w:val="000000"/>
          <w:lang w:val="sr-Cyrl-CS"/>
        </w:rPr>
      </w:pPr>
      <w:r w:rsidRPr="008A34E9">
        <w:rPr>
          <w:color w:val="000000"/>
          <w:lang w:val="sr-Cyrl-CS"/>
        </w:rPr>
        <w:t>Пред</w:t>
      </w:r>
      <w:r>
        <w:rPr>
          <w:color w:val="000000"/>
          <w:lang w:val="sr-Cyrl-CS"/>
        </w:rPr>
        <w:t>мет продаје је производно-пословна целина „Нишка пивара“ која се састоји од непокретне и покретне имовине</w:t>
      </w:r>
      <w:r w:rsidRPr="008A34E9">
        <w:rPr>
          <w:color w:val="000000"/>
          <w:lang w:val="sr-Cyrl-CS"/>
        </w:rPr>
        <w:t>.</w:t>
      </w:r>
    </w:p>
    <w:p w:rsidR="004A438A" w:rsidRDefault="004A438A" w:rsidP="004A438A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Сва имовина се налази у Нишу у фабричком кругу у Игманској </w:t>
      </w:r>
      <w:r>
        <w:rPr>
          <w:color w:val="000000"/>
          <w:lang w:val="sr-Cyrl-CS"/>
        </w:rPr>
        <w:br/>
        <w:t xml:space="preserve">улици бб, на катастарској парцели број 7395/1 катастарска општина Ниш – Ћеле кула. </w:t>
      </w:r>
    </w:p>
    <w:p w:rsidR="004A438A" w:rsidRDefault="004A438A" w:rsidP="004A438A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 оквиру производно-пословне целине налазе се следеће непокретности које су делом уписане у лист непокретности број 9118 за поменуту катастарску општину.</w:t>
      </w:r>
    </w:p>
    <w:p w:rsidR="004A438A" w:rsidRDefault="004A438A" w:rsidP="004A438A">
      <w:pPr>
        <w:jc w:val="both"/>
        <w:rPr>
          <w:color w:val="00000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97"/>
        <w:gridCol w:w="838"/>
        <w:gridCol w:w="1418"/>
        <w:gridCol w:w="1432"/>
        <w:gridCol w:w="2678"/>
      </w:tblGrid>
      <w:tr w:rsidR="004A438A" w:rsidTr="00237229"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Ред. бр.</w:t>
            </w:r>
          </w:p>
        </w:tc>
        <w:tc>
          <w:tcPr>
            <w:tcW w:w="19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Назив</w:t>
            </w:r>
          </w:p>
        </w:tc>
        <w:tc>
          <w:tcPr>
            <w:tcW w:w="8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Бр.у Л.Н.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Површина</w:t>
            </w:r>
          </w:p>
        </w:tc>
        <w:tc>
          <w:tcPr>
            <w:tcW w:w="14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Спратност</w:t>
            </w:r>
          </w:p>
        </w:tc>
        <w:tc>
          <w:tcPr>
            <w:tcW w:w="26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Намена</w:t>
            </w:r>
          </w:p>
        </w:tc>
      </w:tr>
      <w:tr w:rsidR="004A438A" w:rsidTr="00237229"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1.</w:t>
            </w:r>
          </w:p>
        </w:tc>
        <w:tc>
          <w:tcPr>
            <w:tcW w:w="1997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Пунионица и складиште амбалаже</w:t>
            </w:r>
          </w:p>
        </w:tc>
        <w:tc>
          <w:tcPr>
            <w:tcW w:w="83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1.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5.381,81 </w:t>
            </w:r>
            <w:r>
              <w:t>m</w:t>
            </w:r>
            <w:r w:rsidRPr="005C517B">
              <w:rPr>
                <w:vertAlign w:val="superscript"/>
                <w:lang w:val="sr-Cyrl-BA"/>
              </w:rPr>
              <w:t>2</w:t>
            </w:r>
          </w:p>
        </w:tc>
        <w:tc>
          <w:tcPr>
            <w:tcW w:w="143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 + СП</w:t>
            </w:r>
          </w:p>
        </w:tc>
        <w:tc>
          <w:tcPr>
            <w:tcW w:w="267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Филтрирање, пуњење и складиштење пива и сокова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2.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Варионица са врионо лежним подрумима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2.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4.529,94 </w:t>
            </w:r>
            <w:r>
              <w:t>m</w:t>
            </w:r>
            <w:r w:rsidRPr="005C517B">
              <w:rPr>
                <w:vertAlign w:val="superscript"/>
                <w:lang w:val="sr-Cyrl-BA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ПО+ПР+2 МС+</w:t>
            </w:r>
          </w:p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2СП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Кување, врење и одлежавање пива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3.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Котларница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3.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Latn-CS"/>
              </w:rPr>
            </w:pPr>
            <w:r w:rsidRPr="005C517B">
              <w:rPr>
                <w:lang w:val="sr-Latn-CS"/>
              </w:rPr>
              <w:t xml:space="preserve">307,61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 + 1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 xml:space="preserve">Производња технолошке паре 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4.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Управна зграда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4.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1116,5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ПО + ПР + 2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Канцеларије и лабораторија за испитивање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5.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Стара варионица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5.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 xml:space="preserve">995,92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ПР+2 (различити</w:t>
            </w:r>
            <w:r>
              <w:rPr>
                <w:lang w:val="sr-Cyrl-BA"/>
              </w:rPr>
              <w:t>х</w:t>
            </w:r>
            <w:r w:rsidRPr="005C517B">
              <w:rPr>
                <w:lang w:val="sr-Cyrl-BA"/>
              </w:rPr>
              <w:t xml:space="preserve"> спратних висина)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Амонијачна компресорска станица и хладњача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6.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Објекат хлађења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6.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 xml:space="preserve">213,8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 + Галерија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Објекат за хлађење и складиштење алкохола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7.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Бетонско постоље за смештај кондензатора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7.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 xml:space="preserve">88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Складиштење амонијака са евапоративним кондензаторима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8.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>
              <w:rPr>
                <w:lang w:val="sr-Cyrl-BA"/>
              </w:rPr>
              <w:t>Радионица</w:t>
            </w:r>
            <w:r w:rsidRPr="005C517B">
              <w:rPr>
                <w:lang w:val="sr-Cyrl-BA"/>
              </w:rPr>
              <w:t xml:space="preserve"> и гараже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8.9.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 xml:space="preserve">183,1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Механичарска радионица</w:t>
            </w:r>
          </w:p>
        </w:tc>
      </w:tr>
    </w:tbl>
    <w:p w:rsidR="004A438A" w:rsidRDefault="004A438A" w:rsidP="004A438A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97"/>
        <w:gridCol w:w="838"/>
        <w:gridCol w:w="1418"/>
        <w:gridCol w:w="1432"/>
        <w:gridCol w:w="2678"/>
      </w:tblGrid>
      <w:tr w:rsidR="004A438A" w:rsidTr="00237229">
        <w:tc>
          <w:tcPr>
            <w:tcW w:w="7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lastRenderedPageBreak/>
              <w:t>Ред. бр.</w:t>
            </w:r>
          </w:p>
        </w:tc>
        <w:tc>
          <w:tcPr>
            <w:tcW w:w="19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Назив</w:t>
            </w:r>
          </w:p>
        </w:tc>
        <w:tc>
          <w:tcPr>
            <w:tcW w:w="8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Бр.у Л.Н.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Површина</w:t>
            </w:r>
          </w:p>
        </w:tc>
        <w:tc>
          <w:tcPr>
            <w:tcW w:w="14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Спратност</w:t>
            </w:r>
          </w:p>
        </w:tc>
        <w:tc>
          <w:tcPr>
            <w:tcW w:w="26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b/>
                <w:lang w:val="sr-Cyrl-BA"/>
              </w:rPr>
            </w:pPr>
            <w:r w:rsidRPr="005C517B">
              <w:rPr>
                <w:b/>
                <w:lang w:val="sr-Cyrl-BA"/>
              </w:rPr>
              <w:t>Намена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9.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Стара управна зграда и ресторан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10.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 xml:space="preserve">95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Менза са магацином потрошног материјала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10.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Бетонско постоље за гасификациону станицу за СО</w:t>
            </w:r>
            <w:r w:rsidRPr="005C517B">
              <w:rPr>
                <w:vertAlign w:val="subscript"/>
                <w:lang w:val="sr-Cyrl-BA"/>
              </w:rPr>
              <w:t>2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11.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 xml:space="preserve">45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bscript"/>
                <w:lang w:val="sr-Cyrl-BA"/>
              </w:rPr>
            </w:pPr>
            <w:r w:rsidRPr="005C517B">
              <w:rPr>
                <w:lang w:val="sr-Cyrl-BA"/>
              </w:rPr>
              <w:t>Цистерна за складиштење СО</w:t>
            </w:r>
            <w:r w:rsidRPr="005C517B">
              <w:rPr>
                <w:vertAlign w:val="subscript"/>
                <w:lang w:val="sr-Cyrl-BA"/>
              </w:rPr>
              <w:t>2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11.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Дисконт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12.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 xml:space="preserve">52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Продајни објекат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12.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Депо за мазут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15.16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 xml:space="preserve">13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+ 215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</w:t>
            </w:r>
          </w:p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Испод земље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Складиштење мазута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13.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Портирница са надстрешницом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17.18</w:t>
            </w: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 xml:space="preserve">22.95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+ 12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</w:t>
            </w:r>
          </w:p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Објекат службе обезбеђења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  <w:r w:rsidRPr="005C517B">
              <w:rPr>
                <w:lang w:val="sr-Cyrl-BA"/>
              </w:rPr>
              <w:t>14.</w:t>
            </w: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Неукњижени објекти у склопу пословног комплекса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ind w:left="360"/>
              <w:rPr>
                <w:lang w:val="sr-Cyrl-BA"/>
              </w:rPr>
            </w:pP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pStyle w:val="ListParagraph"/>
              <w:suppressAutoHyphens w:val="0"/>
              <w:ind w:left="0"/>
              <w:contextualSpacing/>
              <w:rPr>
                <w:rFonts w:cs="Times New Roman"/>
                <w:lang w:val="sr-Cyrl-BA"/>
              </w:rPr>
            </w:pPr>
            <w:r w:rsidRPr="005C517B">
              <w:rPr>
                <w:rFonts w:cs="Times New Roman"/>
                <w:lang w:val="sr-Cyrl-BA"/>
              </w:rPr>
              <w:t>А) Објекат код зграде бр. 1.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1255,5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 + СП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Без намене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ind w:left="360"/>
              <w:jc w:val="center"/>
              <w:rPr>
                <w:lang w:val="sr-Cyrl-BA"/>
              </w:rPr>
            </w:pP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pStyle w:val="ListParagraph"/>
              <w:suppressAutoHyphens w:val="0"/>
              <w:ind w:left="0"/>
              <w:contextualSpacing/>
              <w:rPr>
                <w:rFonts w:cs="Times New Roman"/>
                <w:lang w:val="sr-Cyrl-BA"/>
              </w:rPr>
            </w:pPr>
            <w:r w:rsidRPr="005C517B">
              <w:rPr>
                <w:rFonts w:cs="Times New Roman"/>
                <w:lang w:val="sr-Cyrl-BA"/>
              </w:rPr>
              <w:t>Б) Објекат код зграде бр. 4.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1476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 + 2 СП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Без намене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ind w:left="360"/>
              <w:jc w:val="center"/>
              <w:rPr>
                <w:lang w:val="sr-Cyrl-BA"/>
              </w:rPr>
            </w:pP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pStyle w:val="ListParagraph"/>
              <w:suppressAutoHyphens w:val="0"/>
              <w:ind w:left="0"/>
              <w:contextualSpacing/>
              <w:rPr>
                <w:rFonts w:cs="Times New Roman"/>
                <w:lang w:val="sr-Cyrl-BA"/>
              </w:rPr>
            </w:pPr>
            <w:r w:rsidRPr="005C517B">
              <w:rPr>
                <w:rFonts w:cs="Times New Roman"/>
                <w:lang w:val="sr-Cyrl-BA"/>
              </w:rPr>
              <w:t>В) Бензинска станица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38</w:t>
            </w:r>
            <w:r>
              <w:t>,</w:t>
            </w:r>
            <w:r w:rsidRPr="005C517B">
              <w:rPr>
                <w:lang w:val="sr-Cyrl-BA"/>
              </w:rPr>
              <w:t xml:space="preserve">15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Испод земље + ПР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Складиштење и точење горива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ind w:left="360"/>
              <w:jc w:val="center"/>
              <w:rPr>
                <w:lang w:val="sr-Cyrl-BA"/>
              </w:rPr>
            </w:pP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pStyle w:val="ListParagraph"/>
              <w:suppressAutoHyphens w:val="0"/>
              <w:ind w:left="0"/>
              <w:contextualSpacing/>
              <w:rPr>
                <w:rFonts w:cs="Times New Roman"/>
                <w:lang w:val="sr-Cyrl-BA"/>
              </w:rPr>
            </w:pPr>
            <w:r w:rsidRPr="005C517B">
              <w:rPr>
                <w:rFonts w:cs="Times New Roman"/>
                <w:lang w:val="sr-Cyrl-BA"/>
              </w:rPr>
              <w:t>Г) Ограда пословног објекта и саобраћајница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265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  <w:p w:rsidR="004A438A" w:rsidRPr="005C517B" w:rsidRDefault="004A438A" w:rsidP="00237229">
            <w:pPr>
              <w:rPr>
                <w:lang w:val="sr-Cyrl-BA"/>
              </w:rPr>
            </w:pPr>
          </w:p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6103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</w:t>
            </w:r>
          </w:p>
          <w:p w:rsidR="004A438A" w:rsidRPr="005C517B" w:rsidRDefault="004A438A" w:rsidP="00237229">
            <w:pPr>
              <w:rPr>
                <w:lang w:val="sr-Cyrl-BA"/>
              </w:rPr>
            </w:pPr>
          </w:p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ПР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Заштита пословног објекта и путна инфраструктура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ind w:left="360"/>
              <w:jc w:val="center"/>
              <w:rPr>
                <w:lang w:val="sr-Cyrl-BA"/>
              </w:rPr>
            </w:pP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pStyle w:val="ListParagraph"/>
              <w:suppressAutoHyphens w:val="0"/>
              <w:ind w:left="0"/>
              <w:contextualSpacing/>
              <w:rPr>
                <w:rFonts w:cs="Times New Roman"/>
                <w:lang w:val="sr-Cyrl-BA"/>
              </w:rPr>
            </w:pPr>
            <w:r w:rsidRPr="005C517B">
              <w:rPr>
                <w:rFonts w:cs="Times New Roman"/>
                <w:lang w:val="sr-Cyrl-BA"/>
              </w:rPr>
              <w:t>Д) Бунар код зграде бр. 10.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118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Испод земље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Снабдевање технолошком водом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ind w:left="360"/>
              <w:jc w:val="center"/>
              <w:rPr>
                <w:lang w:val="sr-Cyrl-BA"/>
              </w:rPr>
            </w:pP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pStyle w:val="ListParagraph"/>
              <w:suppressAutoHyphens w:val="0"/>
              <w:ind w:left="0"/>
              <w:contextualSpacing/>
              <w:rPr>
                <w:rFonts w:cs="Times New Roman"/>
                <w:lang w:val="sr-Cyrl-BA"/>
              </w:rPr>
            </w:pPr>
            <w:r w:rsidRPr="005C517B">
              <w:rPr>
                <w:rFonts w:cs="Times New Roman"/>
                <w:lang w:val="sr-Cyrl-BA"/>
              </w:rPr>
              <w:t>Ђ) Бунар код зграде бр. 1.(Север)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132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Испод земље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Ван употребе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ind w:left="360"/>
              <w:jc w:val="center"/>
              <w:rPr>
                <w:lang w:val="sr-Cyrl-BA"/>
              </w:rPr>
            </w:pPr>
          </w:p>
        </w:tc>
        <w:tc>
          <w:tcPr>
            <w:tcW w:w="1997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pStyle w:val="ListParagraph"/>
              <w:suppressAutoHyphens w:val="0"/>
              <w:ind w:left="0"/>
              <w:contextualSpacing/>
              <w:rPr>
                <w:rFonts w:cs="Times New Roman"/>
                <w:lang w:val="sr-Cyrl-BA"/>
              </w:rPr>
            </w:pPr>
            <w:r w:rsidRPr="005C517B">
              <w:rPr>
                <w:rFonts w:cs="Times New Roman"/>
                <w:lang w:val="sr-Cyrl-BA"/>
              </w:rPr>
              <w:t>Е) Бунар код зграде бр. 1.(Запад)</w:t>
            </w:r>
          </w:p>
        </w:tc>
        <w:tc>
          <w:tcPr>
            <w:tcW w:w="83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12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Испод земље</w:t>
            </w:r>
          </w:p>
        </w:tc>
        <w:tc>
          <w:tcPr>
            <w:tcW w:w="2678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>
              <w:rPr>
                <w:lang w:val="sr-Cyrl-BA"/>
              </w:rPr>
              <w:t>Снабдевање техн</w:t>
            </w:r>
            <w:r w:rsidRPr="005C517B">
              <w:rPr>
                <w:lang w:val="sr-Cyrl-BA"/>
              </w:rPr>
              <w:t>о</w:t>
            </w:r>
            <w:r>
              <w:rPr>
                <w:lang w:val="sr-Cyrl-BA"/>
              </w:rPr>
              <w:t>ло</w:t>
            </w:r>
            <w:r w:rsidRPr="005C517B">
              <w:rPr>
                <w:lang w:val="sr-Cyrl-BA"/>
              </w:rPr>
              <w:t>шком водом</w:t>
            </w:r>
          </w:p>
        </w:tc>
      </w:tr>
      <w:tr w:rsidR="004A438A" w:rsidTr="00237229">
        <w:tc>
          <w:tcPr>
            <w:tcW w:w="70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ind w:left="360"/>
              <w:jc w:val="center"/>
              <w:rPr>
                <w:lang w:val="sr-Cyrl-BA"/>
              </w:rPr>
            </w:pPr>
          </w:p>
        </w:tc>
        <w:tc>
          <w:tcPr>
            <w:tcW w:w="1997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pStyle w:val="ListParagraph"/>
              <w:suppressAutoHyphens w:val="0"/>
              <w:ind w:left="0"/>
              <w:contextualSpacing/>
              <w:rPr>
                <w:rFonts w:cs="Times New Roman"/>
                <w:lang w:val="sr-Cyrl-BA"/>
              </w:rPr>
            </w:pPr>
            <w:r w:rsidRPr="005C517B">
              <w:rPr>
                <w:rFonts w:cs="Times New Roman"/>
                <w:lang w:val="sr-Cyrl-BA"/>
              </w:rPr>
              <w:t>Ж) Бунар код зграде бр. 12.</w:t>
            </w:r>
          </w:p>
        </w:tc>
        <w:tc>
          <w:tcPr>
            <w:tcW w:w="83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vertAlign w:val="superscript"/>
                <w:lang w:val="sr-Cyrl-BA"/>
              </w:rPr>
            </w:pPr>
            <w:r w:rsidRPr="005C517B">
              <w:rPr>
                <w:lang w:val="sr-Cyrl-BA"/>
              </w:rPr>
              <w:t xml:space="preserve">12 </w:t>
            </w:r>
            <w:r>
              <w:t>m</w:t>
            </w:r>
            <w:r w:rsidRPr="005C517B">
              <w:rPr>
                <w:vertAlign w:val="superscript"/>
                <w:lang w:val="sr-Latn-CS"/>
              </w:rPr>
              <w:t>2</w:t>
            </w:r>
          </w:p>
        </w:tc>
        <w:tc>
          <w:tcPr>
            <w:tcW w:w="143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Испод земље</w:t>
            </w:r>
          </w:p>
        </w:tc>
        <w:tc>
          <w:tcPr>
            <w:tcW w:w="267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438A" w:rsidRPr="005C517B" w:rsidRDefault="004A438A" w:rsidP="00237229">
            <w:pPr>
              <w:rPr>
                <w:lang w:val="sr-Cyrl-BA"/>
              </w:rPr>
            </w:pPr>
            <w:r w:rsidRPr="005C517B">
              <w:rPr>
                <w:lang w:val="sr-Cyrl-BA"/>
              </w:rPr>
              <w:t>Ван употребе</w:t>
            </w:r>
          </w:p>
        </w:tc>
      </w:tr>
    </w:tbl>
    <w:p w:rsidR="004A438A" w:rsidRDefault="004A438A" w:rsidP="004A438A">
      <w:pPr>
        <w:jc w:val="both"/>
        <w:rPr>
          <w:color w:val="000000"/>
          <w:lang w:val="sr-Cyrl-CS"/>
        </w:rPr>
      </w:pPr>
    </w:p>
    <w:p w:rsidR="004A438A" w:rsidRDefault="004A438A" w:rsidP="004A438A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Укупна површина поменутих грађевинских објеката износи 22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 xml:space="preserve">620 </w:t>
      </w:r>
      <w:r>
        <w:t>m</w:t>
      </w:r>
      <w:r w:rsidRPr="005C517B">
        <w:rPr>
          <w:vertAlign w:val="superscript"/>
          <w:lang w:val="sr-Latn-CS"/>
        </w:rPr>
        <w:t>2</w:t>
      </w:r>
      <w:r>
        <w:rPr>
          <w:color w:val="000000"/>
          <w:lang w:val="sr-Cyrl-CS"/>
        </w:rPr>
        <w:t>.</w:t>
      </w:r>
    </w:p>
    <w:p w:rsidR="004A438A" w:rsidRDefault="004A438A" w:rsidP="004A438A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Власник и држалац поменутих грађевинских објеката је стечајни дужник.</w:t>
      </w:r>
    </w:p>
    <w:p w:rsidR="004A438A" w:rsidRDefault="004A438A" w:rsidP="004A438A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Све наведена непокретности се налазе на земљишту које је, према поменутом листу непкретности, у државној својини, а стечајни дужник има право коришћења предметног земљишта. Укупна површина земљишта на предметној катастарској парцели износи 3,65 хектара од чега је 2,71 хектара земљиште уз зграде – објекте, а остатак земљиште под зградама – објектима.</w:t>
      </w:r>
    </w:p>
    <w:p w:rsidR="004A438A" w:rsidRDefault="004A438A" w:rsidP="004A438A">
      <w:pPr>
        <w:ind w:firstLine="708"/>
        <w:jc w:val="both"/>
        <w:rPr>
          <w:color w:val="000000"/>
          <w:lang w:val="sr-Cyrl-CS"/>
        </w:rPr>
      </w:pPr>
    </w:p>
    <w:p w:rsidR="004A438A" w:rsidRDefault="004A438A" w:rsidP="004A438A">
      <w:pPr>
        <w:ind w:firstLine="708"/>
        <w:jc w:val="both"/>
        <w:rPr>
          <w:color w:val="000000"/>
          <w:lang w:val="sr-Cyrl-CS"/>
        </w:rPr>
      </w:pPr>
    </w:p>
    <w:p w:rsidR="004A438A" w:rsidRDefault="004A438A" w:rsidP="004A438A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На поменутој катастарској парцели налазе се и следећи грађевински објекти који нису предмет продаје јер нису власништво стечајног дужника:</w:t>
      </w:r>
    </w:p>
    <w:p w:rsidR="004A438A" w:rsidRDefault="004A438A" w:rsidP="004A438A">
      <w:pPr>
        <w:numPr>
          <w:ilvl w:val="0"/>
          <w:numId w:val="3"/>
        </w:numPr>
        <w:suppressAutoHyphens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Трафо станица површине у основи 45 </w:t>
      </w:r>
      <w:r>
        <w:t>m</w:t>
      </w:r>
      <w:r w:rsidRPr="005C517B">
        <w:rPr>
          <w:vertAlign w:val="superscript"/>
          <w:lang w:val="sr-Latn-CS"/>
        </w:rPr>
        <w:t>2</w:t>
      </w:r>
      <w:r>
        <w:rPr>
          <w:color w:val="000000"/>
          <w:lang w:val="sr-Cyrl-CS"/>
        </w:rPr>
        <w:t>, уписана у лист непокретности као зграда број 13; и</w:t>
      </w:r>
    </w:p>
    <w:p w:rsidR="004A438A" w:rsidRDefault="004A438A" w:rsidP="004A438A">
      <w:pPr>
        <w:numPr>
          <w:ilvl w:val="0"/>
          <w:numId w:val="3"/>
        </w:numPr>
        <w:suppressAutoHyphens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Резервоар за воду</w:t>
      </w:r>
      <w:r w:rsidRPr="0086506A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површине у основи 38 </w:t>
      </w:r>
      <w:r>
        <w:t>m</w:t>
      </w:r>
      <w:r w:rsidRPr="005C517B">
        <w:rPr>
          <w:vertAlign w:val="superscript"/>
          <w:lang w:val="sr-Latn-CS"/>
        </w:rPr>
        <w:t>2</w:t>
      </w:r>
      <w:r>
        <w:rPr>
          <w:color w:val="000000"/>
          <w:lang w:val="sr-Cyrl-CS"/>
        </w:rPr>
        <w:t>, уписана у лист непокретности као зграда број 14.</w:t>
      </w:r>
    </w:p>
    <w:p w:rsidR="004A438A" w:rsidRDefault="004A438A" w:rsidP="004A438A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Поменуте зграде су, према листу непокретности, у државном власништву, а стечајни дужник је држалац истих.</w:t>
      </w:r>
    </w:p>
    <w:p w:rsidR="004A438A" w:rsidRDefault="004A438A" w:rsidP="004A438A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предметној катастарској парцели налази се и грађевински објекат привременог карактера који је склон паду и небезбедан за коришћење те сматрамо да нема употребну вредност.</w:t>
      </w:r>
    </w:p>
    <w:p w:rsidR="004A438A" w:rsidRDefault="004A438A" w:rsidP="004A438A">
      <w:pPr>
        <w:jc w:val="both"/>
        <w:rPr>
          <w:b/>
          <w:bCs/>
          <w:color w:val="000000"/>
          <w:lang w:val="sr-Cyrl-CS"/>
        </w:rPr>
      </w:pPr>
    </w:p>
    <w:p w:rsidR="004A438A" w:rsidRDefault="004A438A" w:rsidP="004A438A">
      <w:pPr>
        <w:ind w:firstLine="708"/>
        <w:jc w:val="both"/>
        <w:rPr>
          <w:lang w:val="sr-Cyrl-CS"/>
        </w:rPr>
      </w:pPr>
      <w:r>
        <w:rPr>
          <w:lang w:val="sr-Cyrl-CS"/>
        </w:rPr>
        <w:t>Предмет продаје је и опрема и друге покретне ствари.</w:t>
      </w:r>
    </w:p>
    <w:p w:rsidR="004A438A" w:rsidRDefault="004A438A" w:rsidP="004A438A">
      <w:pPr>
        <w:jc w:val="both"/>
        <w:rPr>
          <w:lang w:val="sr-Cyrl-CS"/>
        </w:rPr>
      </w:pPr>
      <w:r w:rsidRPr="00C76865">
        <w:rPr>
          <w:lang w:val="sr-Cyrl-CS"/>
        </w:rPr>
        <w:t>-</w:t>
      </w:r>
      <w:r>
        <w:rPr>
          <w:lang w:val="sr-Cyrl-CS"/>
        </w:rPr>
        <w:t xml:space="preserve"> </w:t>
      </w:r>
      <w:r w:rsidRPr="00C76865">
        <w:rPr>
          <w:b/>
          <w:lang w:val="sr-Cyrl-CS"/>
        </w:rPr>
        <w:t>Пунионица и складиште акцизне робе</w:t>
      </w:r>
      <w:r>
        <w:rPr>
          <w:lang w:val="sr-Cyrl-CS"/>
        </w:rPr>
        <w:t xml:space="preserve"> која садржи: о</w:t>
      </w:r>
      <w:r w:rsidRPr="00C76865">
        <w:rPr>
          <w:lang w:val="sr-Cyrl-CS"/>
        </w:rPr>
        <w:t xml:space="preserve">према за отакање пива </w:t>
      </w:r>
      <w:r w:rsidRPr="00C76865">
        <w:rPr>
          <w:lang w:val="sr-Latn-CS"/>
        </w:rPr>
        <w:t>KHS</w:t>
      </w:r>
      <w:r>
        <w:rPr>
          <w:lang w:val="sr-Cyrl-CS"/>
        </w:rPr>
        <w:t>; опрема за отакање сокова</w:t>
      </w:r>
      <w:r w:rsidRPr="00C76865">
        <w:rPr>
          <w:lang w:val="sr-Cyrl-CS"/>
        </w:rPr>
        <w:t xml:space="preserve">; </w:t>
      </w:r>
      <w:r>
        <w:rPr>
          <w:lang w:val="sr-Cyrl-CS"/>
        </w:rPr>
        <w:t>о</w:t>
      </w:r>
      <w:r w:rsidRPr="00C76865">
        <w:rPr>
          <w:lang w:val="sr-Cyrl-CS"/>
        </w:rPr>
        <w:t xml:space="preserve">према за ПЕТ амбалажу; </w:t>
      </w:r>
      <w:r>
        <w:rPr>
          <w:lang w:val="sr-Cyrl-CS"/>
        </w:rPr>
        <w:t>о</w:t>
      </w:r>
      <w:r w:rsidRPr="00C76865">
        <w:rPr>
          <w:lang w:val="sr-Cyrl-CS"/>
        </w:rPr>
        <w:t xml:space="preserve">према за филтрирање и проточно пастеризовање пива; </w:t>
      </w:r>
      <w:r>
        <w:rPr>
          <w:lang w:val="sr-Cyrl-CS"/>
        </w:rPr>
        <w:t>о</w:t>
      </w:r>
      <w:r w:rsidRPr="00C76865">
        <w:rPr>
          <w:lang w:val="sr-Cyrl-CS"/>
        </w:rPr>
        <w:t xml:space="preserve">према за пуњење буради; </w:t>
      </w:r>
      <w:r>
        <w:rPr>
          <w:lang w:val="sr-Cyrl-CS"/>
        </w:rPr>
        <w:t>о</w:t>
      </w:r>
      <w:r w:rsidRPr="00C76865">
        <w:rPr>
          <w:lang w:val="sr-Cyrl-CS"/>
        </w:rPr>
        <w:t xml:space="preserve">према за пречишћавање воде; </w:t>
      </w:r>
      <w:r>
        <w:rPr>
          <w:lang w:val="sr-Cyrl-CS"/>
        </w:rPr>
        <w:t>д</w:t>
      </w:r>
      <w:r w:rsidRPr="00C76865">
        <w:rPr>
          <w:lang w:val="sr-Cyrl-CS"/>
        </w:rPr>
        <w:t>рук танкови (</w:t>
      </w:r>
      <w:r>
        <w:rPr>
          <w:lang w:val="sr-Cyrl-CS"/>
        </w:rPr>
        <w:t>ц</w:t>
      </w:r>
      <w:r w:rsidRPr="00C76865">
        <w:rPr>
          <w:lang w:val="sr-Cyrl-CS"/>
        </w:rPr>
        <w:t>истерне з</w:t>
      </w:r>
      <w:r>
        <w:rPr>
          <w:lang w:val="sr-Cyrl-CS"/>
        </w:rPr>
        <w:t>а прихват исфилтрираног пива); г</w:t>
      </w:r>
      <w:r w:rsidRPr="00C76865">
        <w:rPr>
          <w:lang w:val="sr-Cyrl-CS"/>
        </w:rPr>
        <w:t>лавни трафои од</w:t>
      </w:r>
      <w:r>
        <w:rPr>
          <w:lang w:val="sr-Cyrl-CS"/>
        </w:rPr>
        <w:t xml:space="preserve"> 630</w:t>
      </w:r>
      <w:r>
        <w:t>k</w:t>
      </w:r>
      <w:r w:rsidRPr="00C76865">
        <w:rPr>
          <w:lang w:val="sr-Latn-CS"/>
        </w:rPr>
        <w:t>V</w:t>
      </w:r>
      <w:r w:rsidRPr="00C76865">
        <w:rPr>
          <w:lang w:val="sr-Cyrl-CS"/>
        </w:rPr>
        <w:t>;</w:t>
      </w:r>
      <w:r>
        <w:rPr>
          <w:lang w:val="sr-Cyrl-CS"/>
        </w:rPr>
        <w:t xml:space="preserve"> ваздушни копресори.</w:t>
      </w:r>
    </w:p>
    <w:p w:rsidR="004A438A" w:rsidRDefault="004A438A" w:rsidP="004A438A">
      <w:pPr>
        <w:jc w:val="both"/>
        <w:rPr>
          <w:lang w:val="sr-Cyrl-CS"/>
        </w:rPr>
      </w:pPr>
      <w:r w:rsidRPr="00201BC0">
        <w:rPr>
          <w:b/>
          <w:lang w:val="sr-Cyrl-CS"/>
        </w:rPr>
        <w:t>- Магацин акцизне робе</w:t>
      </w:r>
      <w:r>
        <w:rPr>
          <w:b/>
          <w:lang w:val="sr-Cyrl-CS"/>
        </w:rPr>
        <w:t>:</w:t>
      </w:r>
      <w:r w:rsidRPr="00C76865">
        <w:rPr>
          <w:lang w:val="sr-Cyrl-CS"/>
        </w:rPr>
        <w:t xml:space="preserve"> </w:t>
      </w:r>
      <w:r>
        <w:rPr>
          <w:lang w:val="sr-Cyrl-CS"/>
        </w:rPr>
        <w:t>о</w:t>
      </w:r>
      <w:r w:rsidRPr="00C76865">
        <w:rPr>
          <w:lang w:val="sr-Cyrl-CS"/>
        </w:rPr>
        <w:t xml:space="preserve">према у припадајућим канцеларијама; </w:t>
      </w:r>
      <w:r>
        <w:rPr>
          <w:lang w:val="sr-Cyrl-CS"/>
        </w:rPr>
        <w:t>в</w:t>
      </w:r>
      <w:r w:rsidRPr="00C76865">
        <w:rPr>
          <w:lang w:val="sr-Cyrl-CS"/>
        </w:rPr>
        <w:t>иљушкари</w:t>
      </w:r>
      <w:r>
        <w:rPr>
          <w:lang w:val="sr-Cyrl-CS"/>
        </w:rPr>
        <w:t>.</w:t>
      </w:r>
      <w:r w:rsidRPr="00C76865">
        <w:rPr>
          <w:lang w:val="sr-Cyrl-CS"/>
        </w:rPr>
        <w:t xml:space="preserve"> </w:t>
      </w:r>
    </w:p>
    <w:p w:rsidR="004A438A" w:rsidRPr="00C76865" w:rsidRDefault="004A438A" w:rsidP="004A438A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9175AA">
        <w:rPr>
          <w:b/>
          <w:lang w:val="sr-Cyrl-CS"/>
        </w:rPr>
        <w:t>Транспортна возила</w:t>
      </w:r>
      <w:r>
        <w:rPr>
          <w:b/>
          <w:lang w:val="sr-Cyrl-CS"/>
        </w:rPr>
        <w:t xml:space="preserve">: </w:t>
      </w:r>
      <w:r>
        <w:rPr>
          <w:lang w:val="sr-Cyrl-CS"/>
        </w:rPr>
        <w:t>камиони и прилагођени аутомобили</w:t>
      </w:r>
      <w:r w:rsidRPr="00C76865">
        <w:rPr>
          <w:lang w:val="sr-Cyrl-CS"/>
        </w:rPr>
        <w:t>.</w:t>
      </w:r>
    </w:p>
    <w:p w:rsidR="004A438A" w:rsidRPr="00C76865" w:rsidRDefault="004A438A" w:rsidP="004A438A">
      <w:pPr>
        <w:jc w:val="both"/>
        <w:rPr>
          <w:lang w:val="sr-Cyrl-CS"/>
        </w:rPr>
      </w:pPr>
      <w:r w:rsidRPr="00C76865">
        <w:rPr>
          <w:b/>
          <w:lang w:val="sr-Cyrl-CS"/>
        </w:rPr>
        <w:t>-</w:t>
      </w:r>
      <w:r>
        <w:rPr>
          <w:b/>
          <w:lang w:val="sr-Cyrl-CS"/>
        </w:rPr>
        <w:t xml:space="preserve"> </w:t>
      </w:r>
      <w:r w:rsidRPr="00C76865">
        <w:rPr>
          <w:b/>
          <w:lang w:val="sr-Cyrl-CS"/>
        </w:rPr>
        <w:t xml:space="preserve">Варионица са врионо лежним подрумима </w:t>
      </w:r>
      <w:r>
        <w:rPr>
          <w:lang w:val="sr-Cyrl-CS"/>
        </w:rPr>
        <w:t>која садржи</w:t>
      </w:r>
      <w:r w:rsidRPr="00C76865">
        <w:rPr>
          <w:lang w:val="sr-Cyrl-CS"/>
        </w:rPr>
        <w:t>:</w:t>
      </w:r>
      <w:r>
        <w:rPr>
          <w:lang w:val="sr-Cyrl-CS"/>
        </w:rPr>
        <w:t xml:space="preserve"> о</w:t>
      </w:r>
      <w:r w:rsidRPr="00C76865">
        <w:rPr>
          <w:lang w:val="sr-Cyrl-CS"/>
        </w:rPr>
        <w:t xml:space="preserve">према за кување пива; </w:t>
      </w:r>
      <w:r>
        <w:rPr>
          <w:lang w:val="sr-Cyrl-CS"/>
        </w:rPr>
        <w:t>ц</w:t>
      </w:r>
      <w:r w:rsidRPr="00C76865">
        <w:rPr>
          <w:lang w:val="sr-Cyrl-CS"/>
        </w:rPr>
        <w:t xml:space="preserve">истерне са пратећом опремом за главно врење и одлежавање пива; </w:t>
      </w:r>
      <w:r>
        <w:rPr>
          <w:lang w:val="sr-Cyrl-CS"/>
        </w:rPr>
        <w:t>о</w:t>
      </w:r>
      <w:r w:rsidRPr="00C76865">
        <w:rPr>
          <w:lang w:val="sr-Cyrl-CS"/>
        </w:rPr>
        <w:t xml:space="preserve">према за пивски квасац; </w:t>
      </w:r>
      <w:r>
        <w:rPr>
          <w:lang w:val="sr-Cyrl-CS"/>
        </w:rPr>
        <w:t>о</w:t>
      </w:r>
      <w:r w:rsidRPr="00C76865">
        <w:rPr>
          <w:lang w:val="sr-Cyrl-CS"/>
        </w:rPr>
        <w:t xml:space="preserve">према у припадајућим канцеларијама; </w:t>
      </w:r>
      <w:r>
        <w:rPr>
          <w:lang w:val="sr-Cyrl-CS"/>
        </w:rPr>
        <w:t>х</w:t>
      </w:r>
      <w:r w:rsidRPr="00C76865">
        <w:rPr>
          <w:lang w:val="sr-Cyrl-CS"/>
        </w:rPr>
        <w:t>идрофорска станица.</w:t>
      </w:r>
    </w:p>
    <w:p w:rsidR="004A438A" w:rsidRPr="00C76865" w:rsidRDefault="004A438A" w:rsidP="004A438A">
      <w:pPr>
        <w:jc w:val="both"/>
        <w:rPr>
          <w:lang w:val="sr-Cyrl-CS"/>
        </w:rPr>
      </w:pPr>
      <w:r w:rsidRPr="00C76865">
        <w:rPr>
          <w:lang w:val="sr-Cyrl-CS"/>
        </w:rPr>
        <w:t>-</w:t>
      </w:r>
      <w:r>
        <w:rPr>
          <w:lang w:val="sr-Cyrl-CS"/>
        </w:rPr>
        <w:t xml:space="preserve"> </w:t>
      </w:r>
      <w:r w:rsidRPr="00C76865">
        <w:rPr>
          <w:b/>
          <w:lang w:val="sr-Cyrl-CS"/>
        </w:rPr>
        <w:t>Котларница</w:t>
      </w:r>
      <w:r>
        <w:rPr>
          <w:lang w:val="sr-Cyrl-CS"/>
        </w:rPr>
        <w:t xml:space="preserve"> која садржи:</w:t>
      </w:r>
      <w:r w:rsidRPr="00C76865">
        <w:rPr>
          <w:lang w:val="sr-Cyrl-CS"/>
        </w:rPr>
        <w:t xml:space="preserve"> </w:t>
      </w:r>
      <w:r>
        <w:rPr>
          <w:lang w:val="sr-Cyrl-CS"/>
        </w:rPr>
        <w:t>п</w:t>
      </w:r>
      <w:r w:rsidRPr="00C76865">
        <w:rPr>
          <w:lang w:val="sr-Cyrl-CS"/>
        </w:rPr>
        <w:t>арни котао за производњу технолошке паре са припадајућом опремом за рад</w:t>
      </w:r>
      <w:r>
        <w:rPr>
          <w:lang w:val="sr-Cyrl-CS"/>
        </w:rPr>
        <w:t xml:space="preserve"> на</w:t>
      </w:r>
      <w:r w:rsidRPr="00C76865">
        <w:rPr>
          <w:lang w:val="sr-Cyrl-CS"/>
        </w:rPr>
        <w:t xml:space="preserve"> мазут и гас; </w:t>
      </w:r>
      <w:r>
        <w:rPr>
          <w:lang w:val="sr-Cyrl-CS"/>
        </w:rPr>
        <w:t>о</w:t>
      </w:r>
      <w:r w:rsidRPr="00C76865">
        <w:rPr>
          <w:lang w:val="sr-Cyrl-CS"/>
        </w:rPr>
        <w:t>према у припадајућим канцеларијама.</w:t>
      </w:r>
    </w:p>
    <w:p w:rsidR="004A438A" w:rsidRPr="00F466F4" w:rsidRDefault="004A438A" w:rsidP="004A438A">
      <w:pPr>
        <w:jc w:val="both"/>
        <w:rPr>
          <w:lang w:val="sr-Cyrl-CS"/>
        </w:rPr>
      </w:pPr>
      <w:r w:rsidRPr="00F466F4">
        <w:rPr>
          <w:lang w:val="sr-Cyrl-CS"/>
        </w:rPr>
        <w:t>-</w:t>
      </w:r>
      <w:r>
        <w:rPr>
          <w:lang w:val="sr-Cyrl-CS"/>
        </w:rPr>
        <w:t xml:space="preserve"> </w:t>
      </w:r>
      <w:r w:rsidRPr="00F466F4">
        <w:rPr>
          <w:b/>
          <w:lang w:val="sr-Cyrl-CS"/>
        </w:rPr>
        <w:t>Управна зграда</w:t>
      </w:r>
      <w:r w:rsidRPr="00F466F4">
        <w:rPr>
          <w:lang w:val="sr-Cyrl-CS"/>
        </w:rPr>
        <w:t xml:space="preserve"> која садржи:</w:t>
      </w:r>
      <w:r>
        <w:rPr>
          <w:lang w:val="sr-Cyrl-CS"/>
        </w:rPr>
        <w:t xml:space="preserve"> о</w:t>
      </w:r>
      <w:r w:rsidRPr="00F466F4">
        <w:rPr>
          <w:lang w:val="sr-Cyrl-CS"/>
        </w:rPr>
        <w:t>према у припадајућим канцелари</w:t>
      </w:r>
      <w:r>
        <w:rPr>
          <w:lang w:val="sr-Cyrl-CS"/>
        </w:rPr>
        <w:t>ј</w:t>
      </w:r>
      <w:r w:rsidRPr="00F466F4">
        <w:rPr>
          <w:lang w:val="sr-Cyrl-CS"/>
        </w:rPr>
        <w:t xml:space="preserve">ама; </w:t>
      </w:r>
      <w:r>
        <w:rPr>
          <w:lang w:val="sr-Cyrl-CS"/>
        </w:rPr>
        <w:t>и</w:t>
      </w:r>
      <w:r w:rsidRPr="00F466F4">
        <w:rPr>
          <w:lang w:val="sr-Cyrl-CS"/>
        </w:rPr>
        <w:t>нтерна лабораторија за контролу квалитета пива, сокова и воде</w:t>
      </w:r>
      <w:r>
        <w:rPr>
          <w:lang w:val="sr-Cyrl-CS"/>
        </w:rPr>
        <w:t>.</w:t>
      </w:r>
    </w:p>
    <w:p w:rsidR="004A438A" w:rsidRPr="00F466F4" w:rsidRDefault="004A438A" w:rsidP="004A438A">
      <w:pPr>
        <w:jc w:val="both"/>
        <w:rPr>
          <w:lang w:val="sr-Cyrl-CS"/>
        </w:rPr>
      </w:pPr>
      <w:r w:rsidRPr="00F466F4">
        <w:rPr>
          <w:b/>
          <w:lang w:val="sr-Cyrl-CS"/>
        </w:rPr>
        <w:t>- Објекат старе варионице – компресорске станице</w:t>
      </w:r>
      <w:r>
        <w:rPr>
          <w:lang w:val="sr-Cyrl-CS"/>
        </w:rPr>
        <w:t xml:space="preserve"> која садржи: а</w:t>
      </w:r>
      <w:r w:rsidRPr="00F466F4">
        <w:rPr>
          <w:lang w:val="sr-Cyrl-CS"/>
        </w:rPr>
        <w:t xml:space="preserve">монијачни компресори </w:t>
      </w:r>
      <w:r w:rsidRPr="00F466F4">
        <w:rPr>
          <w:lang w:val="sr-Latn-CS"/>
        </w:rPr>
        <w:t>GRASSO</w:t>
      </w:r>
      <w:r>
        <w:rPr>
          <w:lang w:val="sr-Cyrl-CS"/>
        </w:rPr>
        <w:t xml:space="preserve"> и Термовент</w:t>
      </w:r>
      <w:r w:rsidRPr="00F466F4">
        <w:rPr>
          <w:lang w:val="sr-Cyrl-CS"/>
        </w:rPr>
        <w:t xml:space="preserve">; </w:t>
      </w:r>
      <w:r>
        <w:rPr>
          <w:lang w:val="sr-Cyrl-CS"/>
        </w:rPr>
        <w:t>к</w:t>
      </w:r>
      <w:r w:rsidRPr="00F466F4">
        <w:rPr>
          <w:lang w:val="sr-Cyrl-CS"/>
        </w:rPr>
        <w:t>омплетна пратећа опрем</w:t>
      </w:r>
      <w:r>
        <w:rPr>
          <w:lang w:val="sr-Cyrl-CS"/>
        </w:rPr>
        <w:t>а за рад амонијачних компресора</w:t>
      </w:r>
      <w:r w:rsidRPr="00F466F4">
        <w:rPr>
          <w:lang w:val="sr-Cyrl-CS"/>
        </w:rPr>
        <w:t>.</w:t>
      </w:r>
    </w:p>
    <w:p w:rsidR="004A438A" w:rsidRPr="00F466F4" w:rsidRDefault="004A438A" w:rsidP="004A438A">
      <w:pPr>
        <w:jc w:val="both"/>
        <w:rPr>
          <w:lang w:val="sr-Cyrl-CS"/>
        </w:rPr>
      </w:pPr>
      <w:r w:rsidRPr="00F466F4">
        <w:rPr>
          <w:lang w:val="sr-Cyrl-CS"/>
        </w:rPr>
        <w:t>-</w:t>
      </w:r>
      <w:r>
        <w:rPr>
          <w:lang w:val="sr-Cyrl-CS"/>
        </w:rPr>
        <w:t xml:space="preserve"> </w:t>
      </w:r>
      <w:r w:rsidRPr="00F466F4">
        <w:rPr>
          <w:b/>
          <w:lang w:val="sr-Cyrl-CS"/>
        </w:rPr>
        <w:t>Објекат хлађења</w:t>
      </w:r>
      <w:r>
        <w:rPr>
          <w:lang w:val="sr-Cyrl-CS"/>
        </w:rPr>
        <w:t xml:space="preserve"> који садржи: д</w:t>
      </w:r>
      <w:r w:rsidRPr="00F466F4">
        <w:rPr>
          <w:lang w:val="sr-Cyrl-CS"/>
        </w:rPr>
        <w:t xml:space="preserve">обошасти хладњаци са пратећом </w:t>
      </w:r>
      <w:r w:rsidRPr="00F466F4">
        <w:rPr>
          <w:lang w:val="sr-Latn-CS"/>
        </w:rPr>
        <w:t xml:space="preserve">DANFOS </w:t>
      </w:r>
      <w:r>
        <w:rPr>
          <w:lang w:val="sr-Cyrl-CS"/>
        </w:rPr>
        <w:t>опремом; напојне пумпе за алкохол</w:t>
      </w:r>
      <w:r w:rsidRPr="00F466F4">
        <w:rPr>
          <w:lang w:val="sr-Cyrl-CS"/>
        </w:rPr>
        <w:t>.</w:t>
      </w:r>
    </w:p>
    <w:p w:rsidR="004A438A" w:rsidRPr="00F466F4" w:rsidRDefault="004A438A" w:rsidP="004A438A">
      <w:pPr>
        <w:jc w:val="both"/>
        <w:rPr>
          <w:lang w:val="sr-Cyrl-CS"/>
        </w:rPr>
      </w:pPr>
      <w:r w:rsidRPr="00F466F4">
        <w:rPr>
          <w:lang w:val="sr-Cyrl-CS"/>
        </w:rPr>
        <w:t>-</w:t>
      </w:r>
      <w:r>
        <w:rPr>
          <w:lang w:val="sr-Cyrl-CS"/>
        </w:rPr>
        <w:t xml:space="preserve"> </w:t>
      </w:r>
      <w:r w:rsidRPr="00F466F4">
        <w:rPr>
          <w:b/>
          <w:lang w:val="sr-Cyrl-CS"/>
        </w:rPr>
        <w:t>Кондензатори са опремом</w:t>
      </w:r>
      <w:r>
        <w:rPr>
          <w:lang w:val="sr-Cyrl-CS"/>
        </w:rPr>
        <w:t xml:space="preserve"> која садржи: евапоративни кондензатори; ресивер (ц</w:t>
      </w:r>
      <w:r w:rsidRPr="00F466F4">
        <w:rPr>
          <w:lang w:val="sr-Cyrl-CS"/>
        </w:rPr>
        <w:t>истерна за складиштењ</w:t>
      </w:r>
      <w:r>
        <w:rPr>
          <w:lang w:val="sr-Cyrl-CS"/>
        </w:rPr>
        <w:t>е амонијака) са пратећом опремом</w:t>
      </w:r>
      <w:r w:rsidRPr="00F466F4">
        <w:rPr>
          <w:lang w:val="sr-Cyrl-CS"/>
        </w:rPr>
        <w:t xml:space="preserve">; </w:t>
      </w:r>
      <w:r>
        <w:rPr>
          <w:lang w:val="sr-Cyrl-CS"/>
        </w:rPr>
        <w:t>н</w:t>
      </w:r>
      <w:r w:rsidRPr="00F466F4">
        <w:rPr>
          <w:lang w:val="sr-Cyrl-CS"/>
        </w:rPr>
        <w:t>апојне пумпе за воду.</w:t>
      </w:r>
    </w:p>
    <w:p w:rsidR="004A438A" w:rsidRPr="00F466F4" w:rsidRDefault="004A438A" w:rsidP="004A438A">
      <w:pPr>
        <w:jc w:val="both"/>
        <w:rPr>
          <w:lang w:val="sr-Cyrl-CS"/>
        </w:rPr>
      </w:pPr>
      <w:r w:rsidRPr="00F466F4">
        <w:rPr>
          <w:lang w:val="sr-Cyrl-CS"/>
        </w:rPr>
        <w:t>-</w:t>
      </w:r>
      <w:r>
        <w:rPr>
          <w:lang w:val="sr-Cyrl-CS"/>
        </w:rPr>
        <w:t xml:space="preserve"> </w:t>
      </w:r>
      <w:r w:rsidRPr="00F466F4">
        <w:rPr>
          <w:b/>
          <w:lang w:val="sr-Cyrl-CS"/>
        </w:rPr>
        <w:t>Радионица</w:t>
      </w:r>
      <w:r>
        <w:rPr>
          <w:lang w:val="sr-Cyrl-CS"/>
        </w:rPr>
        <w:t xml:space="preserve"> која садржи: к</w:t>
      </w:r>
      <w:r w:rsidRPr="00F466F4">
        <w:rPr>
          <w:lang w:val="sr-Cyrl-CS"/>
        </w:rPr>
        <w:t xml:space="preserve">омплетна опрема за механичарску радионицу; </w:t>
      </w:r>
      <w:r>
        <w:rPr>
          <w:lang w:val="sr-Cyrl-CS"/>
        </w:rPr>
        <w:t>у</w:t>
      </w:r>
      <w:r w:rsidRPr="00F466F4">
        <w:rPr>
          <w:lang w:val="sr-Cyrl-CS"/>
        </w:rPr>
        <w:t xml:space="preserve">ниверзални струг, </w:t>
      </w:r>
      <w:r>
        <w:rPr>
          <w:lang w:val="sr-Cyrl-CS"/>
        </w:rPr>
        <w:t>у</w:t>
      </w:r>
      <w:r w:rsidRPr="00F466F4">
        <w:rPr>
          <w:lang w:val="sr-Cyrl-CS"/>
        </w:rPr>
        <w:t xml:space="preserve">ниверзална глодалица, </w:t>
      </w:r>
      <w:r>
        <w:rPr>
          <w:lang w:val="sr-Cyrl-CS"/>
        </w:rPr>
        <w:t>с</w:t>
      </w:r>
      <w:r w:rsidRPr="00F466F4">
        <w:rPr>
          <w:lang w:val="sr-Cyrl-CS"/>
        </w:rPr>
        <w:t xml:space="preserve">тубна бушилица; </w:t>
      </w:r>
      <w:r>
        <w:rPr>
          <w:lang w:val="sr-Cyrl-CS"/>
        </w:rPr>
        <w:t>т</w:t>
      </w:r>
      <w:r w:rsidRPr="00F466F4">
        <w:rPr>
          <w:lang w:val="sr-Cyrl-CS"/>
        </w:rPr>
        <w:t xml:space="preserve">оцила; </w:t>
      </w:r>
      <w:r>
        <w:rPr>
          <w:lang w:val="sr-Cyrl-CS"/>
        </w:rPr>
        <w:t>а</w:t>
      </w:r>
      <w:r w:rsidRPr="00F466F4">
        <w:rPr>
          <w:lang w:val="sr-Cyrl-CS"/>
        </w:rPr>
        <w:t>парати за заваривање.</w:t>
      </w:r>
    </w:p>
    <w:p w:rsidR="004A438A" w:rsidRPr="00F466F4" w:rsidRDefault="004A438A" w:rsidP="004A438A">
      <w:pPr>
        <w:jc w:val="both"/>
        <w:rPr>
          <w:lang w:val="sr-Cyrl-CS"/>
        </w:rPr>
      </w:pPr>
      <w:r w:rsidRPr="00F466F4">
        <w:rPr>
          <w:lang w:val="sr-Cyrl-CS"/>
        </w:rPr>
        <w:t>-</w:t>
      </w:r>
      <w:r>
        <w:rPr>
          <w:lang w:val="sr-Cyrl-CS"/>
        </w:rPr>
        <w:t xml:space="preserve"> </w:t>
      </w:r>
      <w:r w:rsidRPr="00F466F4">
        <w:rPr>
          <w:b/>
          <w:lang w:val="sr-Cyrl-CS"/>
        </w:rPr>
        <w:t>Стара управна зграда и ресторан</w:t>
      </w:r>
      <w:r>
        <w:rPr>
          <w:lang w:val="sr-Cyrl-CS"/>
        </w:rPr>
        <w:t xml:space="preserve"> који садржи: р</w:t>
      </w:r>
      <w:r w:rsidRPr="00F466F4">
        <w:rPr>
          <w:lang w:val="sr-Cyrl-CS"/>
        </w:rPr>
        <w:t>есторан са пратећом опремом</w:t>
      </w:r>
      <w:r>
        <w:rPr>
          <w:lang w:val="sr-Cyrl-CS"/>
        </w:rPr>
        <w:t>; магацин потрошног материјала</w:t>
      </w:r>
      <w:r w:rsidRPr="00F466F4">
        <w:rPr>
          <w:lang w:val="sr-Cyrl-CS"/>
        </w:rPr>
        <w:t>.</w:t>
      </w:r>
    </w:p>
    <w:p w:rsidR="004A438A" w:rsidRPr="00F466F4" w:rsidRDefault="004A438A" w:rsidP="004A438A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b/>
          <w:lang w:val="sr-Cyrl-CS"/>
        </w:rPr>
        <w:t>Дисконти</w:t>
      </w:r>
      <w:r>
        <w:rPr>
          <w:lang w:val="sr-Cyrl-CS"/>
        </w:rPr>
        <w:t>: к</w:t>
      </w:r>
      <w:r w:rsidRPr="00F466F4">
        <w:rPr>
          <w:lang w:val="sr-Cyrl-CS"/>
        </w:rPr>
        <w:t>омплетна опрема за дисконт пића.</w:t>
      </w:r>
    </w:p>
    <w:p w:rsidR="004A438A" w:rsidRPr="00F466F4" w:rsidRDefault="004A438A" w:rsidP="004A438A">
      <w:pPr>
        <w:tabs>
          <w:tab w:val="left" w:pos="452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F466F4">
        <w:rPr>
          <w:b/>
          <w:lang w:val="sr-Cyrl-CS"/>
        </w:rPr>
        <w:t>Главна трафо станица</w:t>
      </w:r>
      <w:r>
        <w:rPr>
          <w:lang w:val="sr-Cyrl-CS"/>
        </w:rPr>
        <w:t>: г</w:t>
      </w:r>
      <w:r w:rsidRPr="00F466F4">
        <w:rPr>
          <w:lang w:val="sr-Cyrl-CS"/>
        </w:rPr>
        <w:t xml:space="preserve">лавни трафои од 630 </w:t>
      </w:r>
      <w:r>
        <w:t>k</w:t>
      </w:r>
      <w:r w:rsidRPr="00F466F4">
        <w:rPr>
          <w:lang w:val="sr-Latn-CS"/>
        </w:rPr>
        <w:t>V</w:t>
      </w:r>
      <w:r>
        <w:rPr>
          <w:lang w:val="sr-Cyrl-CS"/>
        </w:rPr>
        <w:t>; м</w:t>
      </w:r>
      <w:r w:rsidRPr="00F466F4">
        <w:rPr>
          <w:lang w:val="sr-Cyrl-CS"/>
        </w:rPr>
        <w:t>ерна станица за електричну енергију.</w:t>
      </w:r>
    </w:p>
    <w:p w:rsidR="004A438A" w:rsidRPr="00F466F4" w:rsidRDefault="004A438A" w:rsidP="004A438A">
      <w:pPr>
        <w:tabs>
          <w:tab w:val="left" w:pos="452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F466F4">
        <w:rPr>
          <w:b/>
          <w:lang w:val="sr-Cyrl-CS"/>
        </w:rPr>
        <w:t>Подстаница за мазут</w:t>
      </w:r>
      <w:r>
        <w:rPr>
          <w:lang w:val="sr-Cyrl-CS"/>
        </w:rPr>
        <w:t>: п</w:t>
      </w:r>
      <w:r w:rsidRPr="00F466F4">
        <w:rPr>
          <w:lang w:val="sr-Cyrl-CS"/>
        </w:rPr>
        <w:t xml:space="preserve">одземне цистерне за мазут; </w:t>
      </w:r>
      <w:r>
        <w:rPr>
          <w:lang w:val="sr-Cyrl-CS"/>
        </w:rPr>
        <w:t>з</w:t>
      </w:r>
      <w:r w:rsidRPr="00F466F4">
        <w:rPr>
          <w:lang w:val="sr-Cyrl-CS"/>
        </w:rPr>
        <w:t xml:space="preserve">упчасте пумпе за мазут, </w:t>
      </w:r>
      <w:r>
        <w:rPr>
          <w:lang w:val="sr-Cyrl-CS"/>
        </w:rPr>
        <w:t>п</w:t>
      </w:r>
      <w:r w:rsidRPr="00F466F4">
        <w:rPr>
          <w:lang w:val="sr-Cyrl-CS"/>
        </w:rPr>
        <w:t>ратећа опрема за грејање и развод мазута.</w:t>
      </w:r>
    </w:p>
    <w:p w:rsidR="004A438A" w:rsidRPr="00417749" w:rsidRDefault="004A438A" w:rsidP="004A438A">
      <w:pPr>
        <w:tabs>
          <w:tab w:val="left" w:pos="452"/>
        </w:tabs>
        <w:jc w:val="both"/>
        <w:rPr>
          <w:lang w:val="sr-Cyrl-CS"/>
        </w:rPr>
      </w:pPr>
      <w:r>
        <w:rPr>
          <w:b/>
          <w:lang w:val="sr-Cyrl-CS"/>
        </w:rPr>
        <w:t>- Портирница са колском вагом, бунарима и разводним цевоводом</w:t>
      </w:r>
      <w:r>
        <w:rPr>
          <w:lang w:val="sr-Cyrl-CS"/>
        </w:rPr>
        <w:t>: колска вага са опремом, плитки и дубоки бунари; развод цевовода (вода, пара, алкохол, ЦИП…)</w:t>
      </w:r>
    </w:p>
    <w:p w:rsidR="004A438A" w:rsidRDefault="004A438A" w:rsidP="004A438A">
      <w:pPr>
        <w:jc w:val="both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- Уметничке слике; и</w:t>
      </w:r>
    </w:p>
    <w:p w:rsidR="004A438A" w:rsidRDefault="004A438A" w:rsidP="004A438A">
      <w:pPr>
        <w:jc w:val="both"/>
        <w:rPr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 xml:space="preserve">- Залихе амбалаже, резервних делова и материјала: </w:t>
      </w:r>
      <w:r>
        <w:rPr>
          <w:bCs/>
          <w:color w:val="000000"/>
          <w:lang w:val="sr-Cyrl-CS"/>
        </w:rPr>
        <w:t>око 8 350 пластичних гајби са стакленим флашама, око 3 100 пластичних гајби, расхладне витрине и друго.</w:t>
      </w:r>
    </w:p>
    <w:p w:rsidR="004A438A" w:rsidRPr="001D126B" w:rsidRDefault="004A438A" w:rsidP="004A438A">
      <w:pPr>
        <w:ind w:firstLine="708"/>
        <w:jc w:val="both"/>
        <w:rPr>
          <w:bCs/>
          <w:color w:val="000000"/>
          <w:lang w:val="sr-Cyrl-CS"/>
        </w:rPr>
      </w:pPr>
      <w:r>
        <w:rPr>
          <w:bCs/>
          <w:color w:val="000000"/>
          <w:lang w:val="sr-Cyrl-CS"/>
        </w:rPr>
        <w:t>У просторијама стечајног дужника налазе се у мањем обиму и покретне ствари које нису предмет ове продаје.</w:t>
      </w:r>
    </w:p>
    <w:p w:rsidR="004A438A" w:rsidRDefault="004A438A" w:rsidP="004A438A">
      <w:pPr>
        <w:jc w:val="both"/>
        <w:rPr>
          <w:b/>
          <w:bCs/>
          <w:color w:val="000000"/>
          <w:lang w:val="sr-Cyrl-CS"/>
        </w:rPr>
      </w:pPr>
    </w:p>
    <w:p w:rsidR="004A438A" w:rsidRDefault="004A438A" w:rsidP="004A438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Описана производно-пословна целина је оформљена и служила је за производњу пива и газираних и негазираних безалкохолних напитака. Као таква, </w:t>
      </w:r>
      <w:r>
        <w:rPr>
          <w:lang w:val="sr-Cyrl-CS"/>
        </w:rPr>
        <w:br/>
        <w:t>производно-пословна целина је способна за читав пословни процес од набавке, превоза и складиштења сировина, експлоатације воде, производње пива (кување и одлежавање) и безалкохолних напитака, точење и паковање истих, као и за складиштење и превоз поменутих производа. Производно-пословна целина покрива читав поменути процес закључно с дистрибуцијом производа купцима – велетрговини, малопродајним и угоститељским објектима и крајњим потрошачима.</w:t>
      </w:r>
    </w:p>
    <w:p w:rsidR="004A438A" w:rsidRDefault="004A438A" w:rsidP="004A438A">
      <w:pPr>
        <w:ind w:firstLine="708"/>
        <w:jc w:val="both"/>
        <w:rPr>
          <w:lang w:val="sr-Cyrl-CS"/>
        </w:rPr>
      </w:pPr>
      <w:r>
        <w:rPr>
          <w:lang w:val="sr-Cyrl-CS"/>
        </w:rPr>
        <w:t>Производно-пословна целина је коришћена за своју намену закључно с октобром 2012. године када је производња обустављена. Према нашим сазнањима могуће је покренути производњу пива и безалкохолних напитака у релативном кратком року и уз релативно мала улагања.</w:t>
      </w:r>
    </w:p>
    <w:p w:rsidR="004A438A" w:rsidRDefault="004A438A" w:rsidP="004A438A">
      <w:pPr>
        <w:ind w:firstLine="708"/>
        <w:jc w:val="both"/>
        <w:rPr>
          <w:lang w:val="sr-Cyrl-CS"/>
        </w:rPr>
      </w:pPr>
      <w:r>
        <w:rPr>
          <w:lang w:val="sr-Cyrl-CS"/>
        </w:rPr>
        <w:t>Предметна производно-пословна целина је својевремено производила до 230 хиљада хектолитара пива годишње, а последњих година, пре обуставе производње, до 70 хиљада хектолитара пива.</w:t>
      </w:r>
    </w:p>
    <w:p w:rsidR="004A438A" w:rsidRDefault="004A438A" w:rsidP="004A438A">
      <w:pPr>
        <w:ind w:firstLine="708"/>
        <w:jc w:val="both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Почетна цена на јавном надметању износи -160.000.000,00 динара.</w:t>
      </w:r>
    </w:p>
    <w:p w:rsidR="004A438A" w:rsidRDefault="004A438A" w:rsidP="004A438A">
      <w:pPr>
        <w:ind w:firstLine="708"/>
        <w:jc w:val="both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Депозит за учествовање на јавном надметању износи:</w:t>
      </w:r>
      <w:r>
        <w:rPr>
          <w:b/>
          <w:bCs/>
          <w:color w:val="000000"/>
          <w:lang w:val="sr-Cyrl-CS"/>
        </w:rPr>
        <w:br/>
        <w:t xml:space="preserve"> -158.598.938,60 динара.</w:t>
      </w:r>
    </w:p>
    <w:p w:rsidR="004A438A" w:rsidRDefault="004A438A" w:rsidP="004A438A">
      <w:pPr>
        <w:ind w:firstLine="360"/>
        <w:jc w:val="both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Стечајни дужник је у систему ПДВ-а. Цена постигнута на јавном надметању биће купопродајна цена без ПДВ-а и без других јавних прихода. Уколико буде потребно, на цену постигнуту на јавном надметању биће додат ПДВ или/и други одговарајући јавни приход.</w:t>
      </w:r>
    </w:p>
    <w:p w:rsidR="004A438A" w:rsidRPr="00DF07F0" w:rsidRDefault="004A438A" w:rsidP="004A438A">
      <w:pPr>
        <w:ind w:firstLine="360"/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Право на учешће у поступку продаје имају сва правна и физичка лица</w:t>
      </w:r>
      <w:r w:rsidRPr="007C60DE">
        <w:rPr>
          <w:color w:val="000000"/>
          <w:lang w:val="ru-RU"/>
        </w:rPr>
        <w:t xml:space="preserve"> </w:t>
      </w:r>
      <w:r w:rsidRPr="007C60DE">
        <w:rPr>
          <w:color w:val="000000"/>
          <w:lang w:val="sr-Cyrl-CS"/>
        </w:rPr>
        <w:t>која испуне следеће услове</w:t>
      </w:r>
      <w:r w:rsidRPr="00DF07F0">
        <w:rPr>
          <w:color w:val="000000"/>
          <w:lang w:val="sr-Cyrl-CS"/>
        </w:rPr>
        <w:t>:</w:t>
      </w:r>
    </w:p>
    <w:p w:rsidR="004A438A" w:rsidRPr="006754F5" w:rsidRDefault="004A438A" w:rsidP="004A438A">
      <w:pPr>
        <w:numPr>
          <w:ilvl w:val="0"/>
          <w:numId w:val="1"/>
        </w:numPr>
        <w:jc w:val="both"/>
        <w:rPr>
          <w:color w:val="000000"/>
          <w:lang w:val="sr-Cyrl-CS"/>
        </w:rPr>
      </w:pPr>
      <w:r w:rsidRPr="006754F5">
        <w:rPr>
          <w:color w:val="000000"/>
          <w:lang w:val="sr-Cyrl-CS"/>
        </w:rPr>
        <w:t xml:space="preserve">након добијања профактуре, изврше уплату ради откупа продајне документације у износу </w:t>
      </w:r>
      <w:r>
        <w:rPr>
          <w:color w:val="000000"/>
          <w:lang w:val="sr-Cyrl-CS"/>
        </w:rPr>
        <w:t xml:space="preserve">од </w:t>
      </w:r>
      <w:r>
        <w:rPr>
          <w:color w:val="000000"/>
          <w:lang w:val="sr-Cyrl-RS"/>
        </w:rPr>
        <w:t>-5</w:t>
      </w:r>
      <w:r>
        <w:rPr>
          <w:color w:val="000000"/>
        </w:rPr>
        <w:t>0</w:t>
      </w:r>
      <w:r>
        <w:rPr>
          <w:color w:val="000000"/>
          <w:lang w:val="sr-Cyrl-CS"/>
        </w:rPr>
        <w:t xml:space="preserve">.000,00 динара </w:t>
      </w:r>
      <w:r w:rsidRPr="006754F5">
        <w:rPr>
          <w:color w:val="000000"/>
          <w:lang w:val="sr-Cyrl-CS"/>
        </w:rPr>
        <w:t>(профактура се може преузети сваког радног дана у периоду од 09</w:t>
      </w:r>
      <w:r>
        <w:rPr>
          <w:color w:val="000000"/>
        </w:rPr>
        <w:t>:00</w:t>
      </w:r>
      <w:r w:rsidRPr="006754F5">
        <w:rPr>
          <w:color w:val="000000"/>
          <w:lang w:val="sr-Cyrl-CS"/>
        </w:rPr>
        <w:t>-13</w:t>
      </w:r>
      <w:r>
        <w:rPr>
          <w:color w:val="000000"/>
          <w:lang w:val="sr-Cyrl-CS"/>
        </w:rPr>
        <w:t>:00</w:t>
      </w:r>
      <w:r w:rsidRPr="006754F5">
        <w:rPr>
          <w:color w:val="000000"/>
          <w:lang w:val="sr-Cyrl-CS"/>
        </w:rPr>
        <w:t xml:space="preserve"> часова у просторијама стечајног </w:t>
      </w:r>
      <w:r>
        <w:rPr>
          <w:color w:val="000000"/>
          <w:lang w:val="sr-Cyrl-CS"/>
        </w:rPr>
        <w:t>дуж</w:t>
      </w:r>
      <w:r w:rsidRPr="006754F5">
        <w:rPr>
          <w:color w:val="000000"/>
          <w:lang w:val="sr-Cyrl-CS"/>
        </w:rPr>
        <w:t xml:space="preserve">ника, уз обавезну телефонску најаву </w:t>
      </w:r>
      <w:r>
        <w:rPr>
          <w:color w:val="000000"/>
          <w:lang w:val="sr-Cyrl-CS"/>
        </w:rPr>
        <w:t>стечајном управнику</w:t>
      </w:r>
      <w:r w:rsidRPr="006754F5">
        <w:rPr>
          <w:color w:val="000000"/>
          <w:lang w:val="sr-Cyrl-CS"/>
        </w:rPr>
        <w:t>);</w:t>
      </w:r>
    </w:p>
    <w:p w:rsidR="004A438A" w:rsidRPr="00153752" w:rsidRDefault="004A438A" w:rsidP="004A438A">
      <w:pPr>
        <w:numPr>
          <w:ilvl w:val="0"/>
          <w:numId w:val="1"/>
        </w:numPr>
        <w:jc w:val="both"/>
        <w:rPr>
          <w:color w:val="000000"/>
          <w:lang w:val="sr-Cyrl-CS"/>
        </w:rPr>
      </w:pPr>
      <w:r w:rsidRPr="006754F5">
        <w:rPr>
          <w:color w:val="000000"/>
          <w:lang w:val="sr-Cyrl-CS"/>
        </w:rPr>
        <w:t xml:space="preserve">уплате </w:t>
      </w:r>
      <w:r w:rsidRPr="006754F5">
        <w:rPr>
          <w:b/>
          <w:bCs/>
          <w:color w:val="000000"/>
          <w:lang w:val="sr-Cyrl-CS"/>
        </w:rPr>
        <w:t>депозит</w:t>
      </w:r>
      <w:r w:rsidRPr="006754F5">
        <w:rPr>
          <w:color w:val="000000"/>
          <w:lang w:val="sr-Cyrl-CS"/>
        </w:rPr>
        <w:t xml:space="preserve"> на текући рачун стечајног дужника бр: </w:t>
      </w:r>
      <w:r w:rsidRPr="00C4137C">
        <w:rPr>
          <w:b/>
          <w:lang w:val="sr-Cyrl-CS"/>
        </w:rPr>
        <w:t>155-24720-55</w:t>
      </w:r>
      <w:r w:rsidRPr="00C4137C">
        <w:rPr>
          <w:b/>
          <w:lang w:val="ru-RU"/>
        </w:rPr>
        <w:t xml:space="preserve"> </w:t>
      </w:r>
      <w:r w:rsidRPr="006754F5">
        <w:rPr>
          <w:color w:val="000000"/>
          <w:lang w:val="sr-Cyrl-CS"/>
        </w:rPr>
        <w:t xml:space="preserve">код </w:t>
      </w:r>
      <w:r>
        <w:rPr>
          <w:color w:val="000000"/>
          <w:lang w:val="sr-Cyrl-CS"/>
        </w:rPr>
        <w:t>Чачанске банке</w:t>
      </w:r>
      <w:r w:rsidRPr="006754F5">
        <w:rPr>
          <w:color w:val="000000"/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>
        <w:rPr>
          <w:b/>
          <w:color w:val="000000"/>
          <w:lang w:val="sr-Cyrl-CS"/>
        </w:rPr>
        <w:t>3 радна</w:t>
      </w:r>
      <w:r w:rsidRPr="006754F5">
        <w:rPr>
          <w:b/>
          <w:color w:val="000000"/>
          <w:lang w:val="sr-Cyrl-CS"/>
        </w:rPr>
        <w:t xml:space="preserve"> дана</w:t>
      </w:r>
      <w:r w:rsidRPr="006754F5">
        <w:rPr>
          <w:color w:val="000000"/>
          <w:lang w:val="sr-Cyrl-CS"/>
        </w:rPr>
        <w:t xml:space="preserve"> пре одржавања продаје (рок за уплату депозита је </w:t>
      </w:r>
      <w:r>
        <w:rPr>
          <w:b/>
          <w:color w:val="000000"/>
          <w:lang w:val="sr-Cyrl-CS"/>
        </w:rPr>
        <w:t>04</w:t>
      </w:r>
      <w:r>
        <w:rPr>
          <w:b/>
          <w:color w:val="000000"/>
          <w:lang w:val="sr-Cyrl-RS"/>
        </w:rPr>
        <w:t xml:space="preserve">. мај </w:t>
      </w:r>
      <w:r>
        <w:rPr>
          <w:b/>
          <w:color w:val="000000"/>
          <w:lang w:val="sr-Cyrl-CS"/>
        </w:rPr>
        <w:t>2015</w:t>
      </w:r>
      <w:r w:rsidRPr="006754F5">
        <w:rPr>
          <w:b/>
          <w:color w:val="000000"/>
          <w:lang w:val="sr-Cyrl-CS"/>
        </w:rPr>
        <w:t>. г</w:t>
      </w:r>
      <w:r>
        <w:rPr>
          <w:b/>
          <w:color w:val="000000"/>
          <w:lang w:val="sr-Cyrl-CS"/>
        </w:rPr>
        <w:t>одине</w:t>
      </w:r>
      <w:r w:rsidRPr="006754F5">
        <w:rPr>
          <w:color w:val="000000"/>
          <w:lang w:val="sr-Cyrl-CS"/>
        </w:rPr>
        <w:t xml:space="preserve">). </w:t>
      </w:r>
      <w:r w:rsidRPr="00153752">
        <w:rPr>
          <w:color w:val="000000"/>
          <w:lang w:val="sr-Cyrl-CS"/>
        </w:rPr>
        <w:t xml:space="preserve">У случају да се као депозит положи првокласна банкарска гаранција, оригинал исте се ради провере мора доставити стечајном управнику лично, најкасније до </w:t>
      </w:r>
      <w:r>
        <w:rPr>
          <w:b/>
          <w:color w:val="000000"/>
          <w:lang w:val="sr-Cyrl-CS"/>
        </w:rPr>
        <w:t>04. маја</w:t>
      </w:r>
      <w:r w:rsidRPr="00153752">
        <w:rPr>
          <w:b/>
          <w:color w:val="000000"/>
          <w:lang w:val="sr-Cyrl-CS"/>
        </w:rPr>
        <w:t xml:space="preserve"> 2</w:t>
      </w:r>
      <w:r>
        <w:rPr>
          <w:b/>
          <w:color w:val="000000"/>
          <w:lang w:val="sr-Cyrl-CS"/>
        </w:rPr>
        <w:t>015</w:t>
      </w:r>
      <w:r w:rsidRPr="00153752">
        <w:rPr>
          <w:b/>
          <w:color w:val="000000"/>
          <w:lang w:val="sr-Cyrl-CS"/>
        </w:rPr>
        <w:t>. г</w:t>
      </w:r>
      <w:r>
        <w:rPr>
          <w:b/>
          <w:color w:val="000000"/>
          <w:lang w:val="sr-Cyrl-CS"/>
        </w:rPr>
        <w:t>одине</w:t>
      </w:r>
      <w:r w:rsidRPr="00153752">
        <w:rPr>
          <w:b/>
          <w:color w:val="000000"/>
          <w:lang w:val="sr-Cyrl-CS"/>
        </w:rPr>
        <w:t>.</w:t>
      </w:r>
    </w:p>
    <w:p w:rsidR="004A438A" w:rsidRPr="007C60DE" w:rsidRDefault="004A438A" w:rsidP="004A438A">
      <w:pPr>
        <w:numPr>
          <w:ilvl w:val="0"/>
          <w:numId w:val="1"/>
        </w:numPr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4A438A" w:rsidRPr="007C60DE" w:rsidRDefault="004A438A" w:rsidP="004A438A">
      <w:pPr>
        <w:spacing w:before="120"/>
        <w:ind w:firstLine="720"/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Након уплате депозита, а најкасније до</w:t>
      </w:r>
      <w:r w:rsidRPr="007C60DE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CS"/>
        </w:rPr>
        <w:t>04. маја 2015</w:t>
      </w:r>
      <w:r w:rsidRPr="007C60DE">
        <w:rPr>
          <w:b/>
          <w:color w:val="000000"/>
          <w:lang w:val="sr-Latn-CS"/>
        </w:rPr>
        <w:t>.</w:t>
      </w:r>
      <w:r w:rsidRPr="007C60DE">
        <w:rPr>
          <w:b/>
          <w:color w:val="000000"/>
          <w:lang w:val="sr-Cyrl-CS"/>
        </w:rPr>
        <w:t xml:space="preserve"> године</w:t>
      </w:r>
      <w:r w:rsidRPr="007C60DE">
        <w:rPr>
          <w:color w:val="000000"/>
          <w:lang w:val="sr-Cyrl-CS"/>
        </w:rPr>
        <w:t>, потенцијални купци, ради правовремене евиденције, морају предати стечајном управнику:</w:t>
      </w:r>
      <w:r w:rsidRPr="007C60DE">
        <w:rPr>
          <w:color w:val="000000"/>
          <w:lang w:val="sr-Cyrl-BA"/>
        </w:rPr>
        <w:t xml:space="preserve"> 1. попуњен </w:t>
      </w:r>
      <w:r w:rsidRPr="007C60DE">
        <w:rPr>
          <w:color w:val="000000"/>
          <w:lang w:val="sr-Cyrl-CS"/>
        </w:rPr>
        <w:t>образац пријаве за учешће</w:t>
      </w:r>
      <w:r w:rsidRPr="007C60DE">
        <w:rPr>
          <w:color w:val="000000"/>
          <w:lang w:val="sr-Cyrl-BA"/>
        </w:rPr>
        <w:t xml:space="preserve"> на јавном надметању, 2. доказ о уплати депозита или копију банкарске гаранције, 3. потписану изјаву о губитку права на повраћај депозита, 4. </w:t>
      </w:r>
      <w:r w:rsidRPr="007C60DE">
        <w:rPr>
          <w:color w:val="000000"/>
          <w:lang w:val="sr-Cyrl-CS"/>
        </w:rPr>
        <w:t>извод из регистра привредних субјеката и ОП образац (ако се као потенцијални купац пријављује правно лице или предузетник)</w:t>
      </w:r>
      <w:r w:rsidRPr="007C60DE">
        <w:rPr>
          <w:color w:val="000000"/>
          <w:lang w:val="sr-Cyrl-BA"/>
        </w:rPr>
        <w:t xml:space="preserve"> или фотокопију личне карте или пасоша (ако се као купац јавља физичко лице)</w:t>
      </w:r>
      <w:r>
        <w:rPr>
          <w:color w:val="000000"/>
          <w:lang w:val="sr-Cyrl-BA"/>
        </w:rPr>
        <w:t>,</w:t>
      </w:r>
      <w:r w:rsidRPr="007C60DE">
        <w:rPr>
          <w:color w:val="000000"/>
          <w:lang w:val="sr-Cyrl-BA"/>
        </w:rPr>
        <w:t xml:space="preserve"> 5.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>
        <w:rPr>
          <w:color w:val="000000"/>
          <w:lang w:val="sr-Cyrl-CS"/>
        </w:rPr>
        <w:t>, 6. изјаву с подацима потребним ради обрачунавања јавних прихода.</w:t>
      </w:r>
    </w:p>
    <w:p w:rsidR="004A438A" w:rsidRPr="007C60DE" w:rsidRDefault="004A438A" w:rsidP="004A438A">
      <w:pPr>
        <w:ind w:firstLine="708"/>
        <w:jc w:val="both"/>
        <w:rPr>
          <w:color w:val="000000"/>
          <w:lang w:val="sr-Cyrl-CS"/>
        </w:rPr>
      </w:pPr>
      <w:r w:rsidRPr="007C60DE">
        <w:rPr>
          <w:b/>
          <w:color w:val="000000"/>
          <w:lang w:val="sr-Cyrl-CS"/>
        </w:rPr>
        <w:t>Детаљне услове продаје</w:t>
      </w:r>
      <w:r w:rsidRPr="007C60DE">
        <w:rPr>
          <w:color w:val="000000"/>
          <w:lang w:val="sr-Cyrl-CS"/>
        </w:rPr>
        <w:t xml:space="preserve"> сва заинтересована лица могу преузети на адреси стечајног </w:t>
      </w:r>
      <w:r>
        <w:rPr>
          <w:color w:val="000000"/>
          <w:lang w:val="sr-Cyrl-CS"/>
        </w:rPr>
        <w:t>управника св</w:t>
      </w:r>
      <w:r w:rsidRPr="007C60DE">
        <w:rPr>
          <w:color w:val="000000"/>
          <w:lang w:val="sr-Cyrl-CS"/>
        </w:rPr>
        <w:t>аког радног дана од 0</w:t>
      </w:r>
      <w:r w:rsidRPr="007C60DE">
        <w:rPr>
          <w:color w:val="000000"/>
          <w:lang w:val="sr-Latn-CS"/>
        </w:rPr>
        <w:t>9</w:t>
      </w:r>
      <w:r w:rsidRPr="007C60DE">
        <w:rPr>
          <w:color w:val="000000"/>
          <w:lang w:val="sr-Cyrl-CS"/>
        </w:rPr>
        <w:t xml:space="preserve"> до 13 часова</w:t>
      </w:r>
      <w:r w:rsidRPr="007C60DE">
        <w:rPr>
          <w:color w:val="000000"/>
          <w:lang w:val="sr-Latn-CS"/>
        </w:rPr>
        <w:t xml:space="preserve">, </w:t>
      </w:r>
      <w:r w:rsidRPr="007C60DE">
        <w:rPr>
          <w:color w:val="000000"/>
          <w:lang w:val="sr-Cyrl-CS"/>
        </w:rPr>
        <w:t>уз обавезну телефонску најаву стечајном управнику.</w:t>
      </w:r>
    </w:p>
    <w:p w:rsidR="004A438A" w:rsidRDefault="004A438A" w:rsidP="004A438A">
      <w:pPr>
        <w:pStyle w:val="Heading2"/>
        <w:ind w:firstLine="720"/>
        <w:jc w:val="both"/>
        <w:rPr>
          <w:rFonts w:ascii="Times New Roman" w:hAnsi="Times New Roman"/>
          <w:bCs w:val="0"/>
          <w:i w:val="0"/>
          <w:color w:val="000000"/>
          <w:sz w:val="24"/>
          <w:szCs w:val="24"/>
          <w:u w:val="single"/>
          <w:lang w:val="sr-Cyrl-CS"/>
        </w:rPr>
      </w:pPr>
      <w:r w:rsidRPr="007C60DE">
        <w:rPr>
          <w:rFonts w:ascii="Times New Roman" w:hAnsi="Times New Roman"/>
          <w:i w:val="0"/>
          <w:color w:val="000000"/>
          <w:sz w:val="24"/>
          <w:szCs w:val="24"/>
          <w:u w:val="single"/>
          <w:lang w:val="sr-Cyrl-CS"/>
        </w:rPr>
        <w:lastRenderedPageBreak/>
        <w:t xml:space="preserve">Јавно надметање одржаће се дана </w:t>
      </w:r>
      <w:r>
        <w:rPr>
          <w:rFonts w:ascii="Times New Roman" w:hAnsi="Times New Roman"/>
          <w:i w:val="0"/>
          <w:color w:val="000000"/>
          <w:sz w:val="24"/>
          <w:szCs w:val="24"/>
          <w:u w:val="single"/>
          <w:lang w:val="sr-Cyrl-CS"/>
        </w:rPr>
        <w:t>07. маја 2015. године у 11</w:t>
      </w:r>
      <w:r w:rsidRPr="007C60DE">
        <w:rPr>
          <w:rFonts w:ascii="Times New Roman" w:hAnsi="Times New Roman"/>
          <w:i w:val="0"/>
          <w:color w:val="000000"/>
          <w:sz w:val="24"/>
          <w:szCs w:val="24"/>
          <w:u w:val="single"/>
          <w:lang w:val="sr-Cyrl-CS"/>
        </w:rPr>
        <w:t>:</w:t>
      </w:r>
      <w:r w:rsidRPr="007C60DE">
        <w:rPr>
          <w:rFonts w:ascii="Times New Roman" w:hAnsi="Times New Roman"/>
          <w:i w:val="0"/>
          <w:color w:val="000000"/>
          <w:sz w:val="24"/>
          <w:szCs w:val="24"/>
          <w:u w:val="single"/>
          <w:lang w:val="sr-Cyrl-RS"/>
        </w:rPr>
        <w:t>00</w:t>
      </w:r>
      <w:r w:rsidRPr="007C60DE">
        <w:rPr>
          <w:rFonts w:ascii="Times New Roman" w:hAnsi="Times New Roman"/>
          <w:i w:val="0"/>
          <w:color w:val="000000"/>
          <w:sz w:val="24"/>
          <w:szCs w:val="24"/>
          <w:u w:val="single"/>
          <w:lang w:val="sr-Cyrl-CS"/>
        </w:rPr>
        <w:t xml:space="preserve"> часова </w:t>
      </w:r>
      <w:r w:rsidRPr="007C60DE">
        <w:rPr>
          <w:rFonts w:ascii="Times New Roman" w:hAnsi="Times New Roman"/>
          <w:i w:val="0"/>
          <w:color w:val="000000"/>
          <w:sz w:val="24"/>
          <w:szCs w:val="24"/>
          <w:u w:val="single"/>
          <w:lang w:val="sr-Cyrl-RS"/>
        </w:rPr>
        <w:t xml:space="preserve">у просторијама </w:t>
      </w:r>
      <w:r>
        <w:rPr>
          <w:rFonts w:ascii="Times New Roman" w:hAnsi="Times New Roman"/>
          <w:i w:val="0"/>
          <w:color w:val="000000"/>
          <w:sz w:val="24"/>
          <w:szCs w:val="24"/>
          <w:u w:val="single"/>
          <w:lang w:val="sr-Cyrl-CS"/>
        </w:rPr>
        <w:t>стечајног дужника у Нишу у Игманској улици бб</w:t>
      </w:r>
      <w:r w:rsidRPr="007C60DE">
        <w:rPr>
          <w:rFonts w:ascii="Times New Roman" w:hAnsi="Times New Roman"/>
          <w:bCs w:val="0"/>
          <w:i w:val="0"/>
          <w:color w:val="000000"/>
          <w:sz w:val="24"/>
          <w:szCs w:val="24"/>
          <w:u w:val="single"/>
          <w:lang w:val="sr-Cyrl-CS"/>
        </w:rPr>
        <w:t>.</w:t>
      </w:r>
    </w:p>
    <w:p w:rsidR="004A438A" w:rsidRPr="00673CCA" w:rsidRDefault="004A438A" w:rsidP="004A438A">
      <w:pPr>
        <w:rPr>
          <w:lang w:val="sr-Cyrl-CS"/>
        </w:rPr>
      </w:pPr>
    </w:p>
    <w:p w:rsidR="004A438A" w:rsidRPr="007C60DE" w:rsidRDefault="004A438A" w:rsidP="004A438A">
      <w:pPr>
        <w:ind w:firstLine="720"/>
        <w:jc w:val="both"/>
        <w:rPr>
          <w:color w:val="000000"/>
          <w:lang w:val="sr-Cyrl-CS"/>
        </w:rPr>
      </w:pPr>
      <w:r w:rsidRPr="007C60DE">
        <w:rPr>
          <w:b/>
          <w:color w:val="000000"/>
          <w:lang w:val="sr-Cyrl-CS"/>
        </w:rPr>
        <w:t>Регистрација учесника</w:t>
      </w:r>
      <w:r w:rsidRPr="007C60DE">
        <w:rPr>
          <w:color w:val="000000"/>
          <w:lang w:val="sr-Cyrl-CS"/>
        </w:rPr>
        <w:t xml:space="preserve"> почиње </w:t>
      </w:r>
      <w:r w:rsidRPr="007C60DE">
        <w:rPr>
          <w:b/>
          <w:color w:val="000000"/>
          <w:lang w:val="sr-Cyrl-CS"/>
        </w:rPr>
        <w:t>сат времена</w:t>
      </w:r>
      <w:r w:rsidRPr="007C60DE">
        <w:rPr>
          <w:color w:val="000000"/>
          <w:lang w:val="sr-Cyrl-CS"/>
        </w:rPr>
        <w:t xml:space="preserve"> пре почетка јавног надметања а завршава се </w:t>
      </w:r>
      <w:r w:rsidRPr="007C60DE">
        <w:rPr>
          <w:b/>
          <w:color w:val="000000"/>
          <w:lang w:val="sr-Cyrl-CS"/>
        </w:rPr>
        <w:t xml:space="preserve">10 минута </w:t>
      </w:r>
      <w:r w:rsidRPr="007C60DE">
        <w:rPr>
          <w:color w:val="000000"/>
          <w:lang w:val="sr-Cyrl-CS"/>
        </w:rPr>
        <w:t xml:space="preserve">пре почетка јавног надметања, односно у периоду од </w:t>
      </w:r>
      <w:r>
        <w:rPr>
          <w:b/>
          <w:color w:val="000000"/>
          <w:lang w:val="sr-Cyrl-CS"/>
        </w:rPr>
        <w:t>10</w:t>
      </w:r>
      <w:r w:rsidRPr="007C60DE">
        <w:rPr>
          <w:b/>
          <w:color w:val="000000"/>
          <w:lang w:val="sr-Cyrl-CS"/>
        </w:rPr>
        <w:t>:00</w:t>
      </w:r>
      <w:r w:rsidRPr="007C60DE">
        <w:rPr>
          <w:color w:val="000000"/>
          <w:lang w:val="sr-Cyrl-CS"/>
        </w:rPr>
        <w:t xml:space="preserve"> до </w:t>
      </w:r>
      <w:r>
        <w:rPr>
          <w:b/>
          <w:color w:val="000000"/>
          <w:lang w:val="sr-Cyrl-CS"/>
        </w:rPr>
        <w:t>10</w:t>
      </w:r>
      <w:r w:rsidRPr="007C60DE">
        <w:rPr>
          <w:b/>
          <w:color w:val="000000"/>
          <w:lang w:val="sr-Cyrl-CS"/>
        </w:rPr>
        <w:t>:50</w:t>
      </w:r>
      <w:r w:rsidRPr="007C60DE">
        <w:rPr>
          <w:color w:val="000000"/>
          <w:lang w:val="sr-Cyrl-CS"/>
        </w:rPr>
        <w:t xml:space="preserve"> часова, на  истој адреси.</w:t>
      </w:r>
    </w:p>
    <w:p w:rsidR="004A438A" w:rsidRPr="007C60DE" w:rsidRDefault="004A438A" w:rsidP="004A438A">
      <w:pPr>
        <w:ind w:firstLine="720"/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Стечајни управник спроводи јавно надметање тако што:</w:t>
      </w:r>
    </w:p>
    <w:p w:rsidR="004A438A" w:rsidRPr="007C60DE" w:rsidRDefault="004A438A" w:rsidP="004A438A">
      <w:pPr>
        <w:numPr>
          <w:ilvl w:val="0"/>
          <w:numId w:val="2"/>
        </w:numPr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4A438A" w:rsidRPr="007C60DE" w:rsidRDefault="004A438A" w:rsidP="004A438A">
      <w:pPr>
        <w:numPr>
          <w:ilvl w:val="0"/>
          <w:numId w:val="2"/>
        </w:numPr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Отвара јавно надметање читајући правила надметања;</w:t>
      </w:r>
    </w:p>
    <w:p w:rsidR="004A438A" w:rsidRPr="007C60DE" w:rsidRDefault="004A438A" w:rsidP="004A438A">
      <w:pPr>
        <w:numPr>
          <w:ilvl w:val="0"/>
          <w:numId w:val="2"/>
        </w:numPr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Позива учеснике да прихвате понуђену цену према унапред утврђеним корацима увећања;</w:t>
      </w:r>
    </w:p>
    <w:p w:rsidR="004A438A" w:rsidRPr="007C60DE" w:rsidRDefault="004A438A" w:rsidP="004A438A">
      <w:pPr>
        <w:numPr>
          <w:ilvl w:val="0"/>
          <w:numId w:val="2"/>
        </w:numPr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Одржава ред на јавном надметању;</w:t>
      </w:r>
    </w:p>
    <w:p w:rsidR="004A438A" w:rsidRPr="007C60DE" w:rsidRDefault="004A438A" w:rsidP="004A438A">
      <w:pPr>
        <w:numPr>
          <w:ilvl w:val="0"/>
          <w:numId w:val="2"/>
        </w:numPr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Проглашава за купца учесника који је прихватио највишу понуђену цену</w:t>
      </w:r>
      <w:r w:rsidRPr="007C60DE">
        <w:rPr>
          <w:color w:val="000000"/>
          <w:lang w:val="sr-Latn-CS"/>
        </w:rPr>
        <w:t>;</w:t>
      </w:r>
      <w:r w:rsidRPr="007C60DE">
        <w:rPr>
          <w:color w:val="000000"/>
          <w:lang w:val="sr-Cyrl-CS"/>
        </w:rPr>
        <w:t xml:space="preserve"> </w:t>
      </w:r>
    </w:p>
    <w:p w:rsidR="004A438A" w:rsidRPr="007C60DE" w:rsidRDefault="004A438A" w:rsidP="004A438A">
      <w:pPr>
        <w:numPr>
          <w:ilvl w:val="0"/>
          <w:numId w:val="2"/>
        </w:numPr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Потписује записник.</w:t>
      </w:r>
    </w:p>
    <w:p w:rsidR="004A438A" w:rsidRDefault="004A438A" w:rsidP="004A438A">
      <w:pPr>
        <w:ind w:firstLine="720"/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 xml:space="preserve">Купопродајни уговор се потписује у року од </w:t>
      </w:r>
      <w:r>
        <w:rPr>
          <w:color w:val="000000"/>
          <w:lang w:val="sr-Cyrl-CS"/>
        </w:rPr>
        <w:t>пет</w:t>
      </w:r>
      <w:r w:rsidRPr="007C60DE">
        <w:rPr>
          <w:b/>
          <w:color w:val="000000"/>
          <w:lang w:val="sr-Cyrl-CS"/>
        </w:rPr>
        <w:t xml:space="preserve"> </w:t>
      </w:r>
      <w:r w:rsidRPr="00311ADF">
        <w:rPr>
          <w:color w:val="000000"/>
          <w:lang w:val="sr-Cyrl-CS"/>
        </w:rPr>
        <w:t>дана</w:t>
      </w:r>
      <w:r w:rsidRPr="007C60DE">
        <w:rPr>
          <w:color w:val="000000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311ADF">
        <w:rPr>
          <w:color w:val="000000"/>
          <w:lang w:val="sr-Cyrl-CS"/>
        </w:rPr>
        <w:t>осам дана</w:t>
      </w:r>
      <w:r w:rsidRPr="007C60DE">
        <w:rPr>
          <w:color w:val="000000"/>
          <w:lang w:val="sr-Cyrl-CS"/>
        </w:rPr>
        <w:t xml:space="preserve"> од 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власништва </w:t>
      </w:r>
      <w:r>
        <w:rPr>
          <w:color w:val="000000"/>
          <w:lang w:val="sr-Cyrl-CS"/>
        </w:rPr>
        <w:t>на купљеним стварима</w:t>
      </w:r>
      <w:r w:rsidRPr="007C60DE">
        <w:rPr>
          <w:color w:val="000000"/>
          <w:lang w:val="sr-Cyrl-CS"/>
        </w:rPr>
        <w:t>.</w:t>
      </w:r>
    </w:p>
    <w:p w:rsidR="004A438A" w:rsidRPr="007C60DE" w:rsidRDefault="004A438A" w:rsidP="004A438A">
      <w:pPr>
        <w:ind w:firstLine="720"/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</w:t>
      </w:r>
      <w:r>
        <w:rPr>
          <w:color w:val="000000"/>
          <w:lang w:val="sr-Cyrl-CS"/>
        </w:rPr>
        <w:t>другим случајевима предвиђеним и</w:t>
      </w:r>
      <w:r w:rsidRPr="007C60DE">
        <w:rPr>
          <w:color w:val="000000"/>
          <w:lang w:val="sr-Cyrl-CS"/>
        </w:rPr>
        <w:t>зјавом о губитку права на враћање депозита губи пр</w:t>
      </w:r>
      <w:r>
        <w:rPr>
          <w:color w:val="000000"/>
          <w:lang w:val="sr-Cyrl-CS"/>
        </w:rPr>
        <w:t>аво на повраћај депозита, а за к</w:t>
      </w:r>
      <w:r w:rsidRPr="007C60DE">
        <w:rPr>
          <w:color w:val="000000"/>
          <w:lang w:val="sr-Cyrl-CS"/>
        </w:rPr>
        <w:t>упца се проглашава други најбољи понуђач.</w:t>
      </w:r>
    </w:p>
    <w:p w:rsidR="004A438A" w:rsidRPr="007C60DE" w:rsidRDefault="004A438A" w:rsidP="004A438A">
      <w:pPr>
        <w:ind w:firstLine="720"/>
        <w:jc w:val="both"/>
        <w:rPr>
          <w:color w:val="000000"/>
          <w:lang w:val="ru-RU"/>
        </w:rPr>
      </w:pPr>
      <w:r w:rsidRPr="007C60DE">
        <w:rPr>
          <w:color w:val="000000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</w:t>
      </w:r>
      <w:r w:rsidRPr="007C60DE">
        <w:rPr>
          <w:b/>
          <w:color w:val="000000"/>
          <w:lang w:val="sr-Cyrl-CS"/>
        </w:rPr>
        <w:t>7 дана</w:t>
      </w:r>
      <w:r w:rsidRPr="007C60DE">
        <w:rPr>
          <w:color w:val="000000"/>
          <w:lang w:val="sr-Cyrl-CS"/>
        </w:rPr>
        <w:t xml:space="preserve"> пре заказане продаје</w:t>
      </w:r>
      <w:r w:rsidRPr="007C60DE">
        <w:rPr>
          <w:color w:val="000000"/>
          <w:lang w:val="ru-RU"/>
        </w:rPr>
        <w:t xml:space="preserve"> сваким радним даном од </w:t>
      </w:r>
      <w:r w:rsidRPr="007C60DE">
        <w:rPr>
          <w:b/>
          <w:color w:val="000000"/>
          <w:lang w:val="ru-RU"/>
        </w:rPr>
        <w:t xml:space="preserve">09:00 </w:t>
      </w:r>
      <w:r w:rsidRPr="007C60DE">
        <w:rPr>
          <w:color w:val="000000"/>
          <w:lang w:val="ru-RU"/>
        </w:rPr>
        <w:t xml:space="preserve">до </w:t>
      </w:r>
      <w:r w:rsidRPr="007C60DE">
        <w:rPr>
          <w:b/>
          <w:color w:val="000000"/>
          <w:lang w:val="ru-RU"/>
        </w:rPr>
        <w:t>13:00</w:t>
      </w:r>
      <w:r w:rsidRPr="007C60DE">
        <w:rPr>
          <w:color w:val="000000"/>
          <w:lang w:val="ru-RU"/>
        </w:rPr>
        <w:t xml:space="preserve"> часова уз претходну најаву стечајном управнику.</w:t>
      </w:r>
    </w:p>
    <w:p w:rsidR="004A438A" w:rsidRPr="007C60DE" w:rsidRDefault="004A438A" w:rsidP="004A438A">
      <w:pPr>
        <w:ind w:firstLine="720"/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color w:val="000000"/>
          <w:lang w:val="sr-Cyrl-CS"/>
        </w:rPr>
        <w:t>осам</w:t>
      </w:r>
      <w:r w:rsidRPr="007C60DE">
        <w:rPr>
          <w:color w:val="000000"/>
          <w:lang w:val="sr-Cyrl-CS"/>
        </w:rPr>
        <w:t xml:space="preserve"> дана од дана завршетка јавног надметања. </w:t>
      </w:r>
    </w:p>
    <w:p w:rsidR="004A438A" w:rsidRPr="007C60DE" w:rsidRDefault="004A438A" w:rsidP="004A438A">
      <w:pPr>
        <w:ind w:firstLine="720"/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 xml:space="preserve">Другом најбољем понуђачу на јавном надметању, депозит </w:t>
      </w:r>
      <w:r>
        <w:rPr>
          <w:color w:val="000000"/>
          <w:lang w:val="sr-Cyrl-CS"/>
        </w:rPr>
        <w:t>(гаранција) се враћа у року од двадесет</w:t>
      </w:r>
      <w:r w:rsidRPr="007C60DE">
        <w:rPr>
          <w:color w:val="000000"/>
          <w:lang w:val="sr-Cyrl-CS"/>
        </w:rPr>
        <w:t xml:space="preserve"> дана од дана јавног надметања. </w:t>
      </w:r>
    </w:p>
    <w:p w:rsidR="004A438A" w:rsidRDefault="004A438A" w:rsidP="004A438A">
      <w:pPr>
        <w:ind w:firstLine="720"/>
        <w:jc w:val="both"/>
        <w:rPr>
          <w:color w:val="000000"/>
          <w:lang w:val="sr-Cyrl-CS"/>
        </w:rPr>
      </w:pPr>
      <w:r w:rsidRPr="007C60DE">
        <w:rPr>
          <w:color w:val="000000"/>
          <w:lang w:val="sr-Cyrl-CS"/>
        </w:rPr>
        <w:t>Стечајни дужник је у систему ПДВ-а. Порезе, таксе и трошкове који произлазе из закљученог купопродајног уговора у целости сноси купац.</w:t>
      </w:r>
      <w:r>
        <w:rPr>
          <w:color w:val="000000"/>
          <w:lang w:val="sr-Cyrl-CS"/>
        </w:rPr>
        <w:t xml:space="preserve"> </w:t>
      </w:r>
    </w:p>
    <w:p w:rsidR="004A438A" w:rsidRDefault="004A438A" w:rsidP="004A438A">
      <w:pPr>
        <w:ind w:firstLine="720"/>
        <w:jc w:val="both"/>
        <w:rPr>
          <w:color w:val="000000"/>
          <w:lang w:val="sr-Cyrl-CS"/>
        </w:rPr>
      </w:pPr>
    </w:p>
    <w:p w:rsidR="004A438A" w:rsidRDefault="004A438A" w:rsidP="004A438A">
      <w:pPr>
        <w:ind w:firstLine="720"/>
        <w:jc w:val="both"/>
        <w:rPr>
          <w:color w:val="000000"/>
          <w:lang w:val="sr-Cyrl-CS"/>
        </w:rPr>
      </w:pPr>
      <w:r w:rsidRPr="007C60DE">
        <w:rPr>
          <w:color w:val="000000"/>
          <w:lang w:val="sr-Cyrl-RS"/>
        </w:rPr>
        <w:t>Стечајни управник</w:t>
      </w:r>
      <w:r w:rsidRPr="007C60DE">
        <w:rPr>
          <w:color w:val="000000"/>
          <w:lang w:val="sr-Cyrl-CS"/>
        </w:rPr>
        <w:t xml:space="preserve"> Љубомир Кости</w:t>
      </w:r>
      <w:r>
        <w:rPr>
          <w:color w:val="000000"/>
          <w:lang w:val="sr-Cyrl-CS"/>
        </w:rPr>
        <w:t>ћ, контакт телефон: 064/245-0-285, адреса: Ниш, Игманска бб.</w:t>
      </w:r>
    </w:p>
    <w:p w:rsidR="004A438A" w:rsidRPr="007C60DE" w:rsidRDefault="004A438A" w:rsidP="004A438A">
      <w:pPr>
        <w:ind w:firstLine="720"/>
        <w:jc w:val="both"/>
        <w:rPr>
          <w:color w:val="000000"/>
          <w:lang w:val="sr-Cyrl-RS"/>
        </w:rPr>
      </w:pPr>
    </w:p>
    <w:p w:rsidR="00693DF7" w:rsidRPr="004A438A" w:rsidRDefault="004A438A" w:rsidP="004A438A">
      <w:pPr>
        <w:jc w:val="both"/>
        <w:rPr>
          <w:color w:val="000000"/>
          <w:lang w:val="sr-Cyrl-CS"/>
        </w:rPr>
      </w:pPr>
      <w:r w:rsidRPr="007C60DE">
        <w:rPr>
          <w:i/>
          <w:color w:val="000000"/>
          <w:lang w:val="sr-Latn-CS"/>
        </w:rPr>
        <w:t xml:space="preserve">Напомена: Није дозвољено </w:t>
      </w:r>
      <w:r w:rsidRPr="007C60DE">
        <w:rPr>
          <w:i/>
          <w:color w:val="000000"/>
          <w:lang w:val="sr-Cyrl-CS"/>
        </w:rPr>
        <w:t>достављање</w:t>
      </w:r>
      <w:r w:rsidRPr="007C60DE">
        <w:rPr>
          <w:i/>
          <w:color w:val="000000"/>
          <w:lang w:val="sr-Latn-CS"/>
        </w:rPr>
        <w:t xml:space="preserve"> оригинала </w:t>
      </w:r>
      <w:r w:rsidRPr="007C60DE">
        <w:rPr>
          <w:i/>
          <w:color w:val="000000"/>
          <w:lang w:val="sr-Cyrl-CS"/>
        </w:rPr>
        <w:t xml:space="preserve">банкарске </w:t>
      </w:r>
      <w:r w:rsidRPr="007C60DE">
        <w:rPr>
          <w:i/>
          <w:color w:val="000000"/>
          <w:lang w:val="sr-Latn-CS"/>
        </w:rPr>
        <w:t>гаранције вршити пошиљком (обичном или препору</w:t>
      </w:r>
      <w:r w:rsidRPr="007C60DE">
        <w:rPr>
          <w:i/>
          <w:color w:val="000000"/>
          <w:lang w:val="sr-Cyrl-CS"/>
        </w:rPr>
        <w:t>ч</w:t>
      </w:r>
      <w:r w:rsidRPr="007C60DE">
        <w:rPr>
          <w:i/>
          <w:color w:val="000000"/>
          <w:lang w:val="sr-Latn-CS"/>
        </w:rPr>
        <w:t xml:space="preserve">еном), путем </w:t>
      </w:r>
      <w:r>
        <w:rPr>
          <w:i/>
          <w:color w:val="000000"/>
          <w:lang w:val="sr-Cyrl-RS"/>
        </w:rPr>
        <w:t>теле</w:t>
      </w:r>
      <w:r w:rsidRPr="007C60DE">
        <w:rPr>
          <w:i/>
          <w:color w:val="000000"/>
          <w:lang w:val="sr-Latn-CS"/>
        </w:rPr>
        <w:t xml:space="preserve">факса, </w:t>
      </w:r>
      <w:r>
        <w:rPr>
          <w:i/>
          <w:color w:val="000000"/>
          <w:lang w:val="sr-Cyrl-RS"/>
        </w:rPr>
        <w:t>електронске поште</w:t>
      </w:r>
      <w:r w:rsidRPr="007C60DE">
        <w:rPr>
          <w:i/>
          <w:color w:val="000000"/>
          <w:lang w:val="sr-Latn-CS"/>
        </w:rPr>
        <w:t xml:space="preserve"> или на други начин</w:t>
      </w:r>
      <w:r w:rsidRPr="007C60DE">
        <w:rPr>
          <w:i/>
          <w:color w:val="000000"/>
          <w:lang w:val="sr-Cyrl-CS"/>
        </w:rPr>
        <w:t>, осим на начин прописан у тачки 2. услова за стицање права за учешће из овог огласа.</w:t>
      </w:r>
    </w:p>
    <w:sectPr w:rsidR="00693DF7" w:rsidRPr="004A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165F8"/>
    <w:multiLevelType w:val="hybridMultilevel"/>
    <w:tmpl w:val="DD64D596"/>
    <w:lvl w:ilvl="0" w:tplc="5E9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563D2"/>
    <w:multiLevelType w:val="hybridMultilevel"/>
    <w:tmpl w:val="D6A65B8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C6010"/>
    <w:multiLevelType w:val="hybridMultilevel"/>
    <w:tmpl w:val="3C481542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8A"/>
    <w:rsid w:val="00121E65"/>
    <w:rsid w:val="004A438A"/>
    <w:rsid w:val="00693DF7"/>
    <w:rsid w:val="00A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577E6-4D4E-4B32-BEA0-73B09FD8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4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38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A438A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Љубомир</dc:creator>
  <cp:lastModifiedBy>Milan MO. Opacic</cp:lastModifiedBy>
  <cp:revision>2</cp:revision>
  <dcterms:created xsi:type="dcterms:W3CDTF">2015-04-02T13:32:00Z</dcterms:created>
  <dcterms:modified xsi:type="dcterms:W3CDTF">2015-04-02T13:32:00Z</dcterms:modified>
</cp:coreProperties>
</file>